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0F540" w14:textId="77777777" w:rsidR="00F651AE" w:rsidRDefault="00F651AE" w:rsidP="00EF0F4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8D01C1">
        <w:rPr>
          <w:b/>
          <w:szCs w:val="22"/>
          <w:lang w:val="lv-LV"/>
        </w:rPr>
        <w:t>VETERINĀRO ZĀĻU APRAKSTS</w:t>
      </w:r>
    </w:p>
    <w:p w14:paraId="338D4BF4" w14:textId="77777777" w:rsidR="00F651AE" w:rsidRPr="00F651AE" w:rsidRDefault="00F651AE" w:rsidP="00EF0F41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F651AE">
        <w:rPr>
          <w:b/>
          <w:szCs w:val="22"/>
        </w:rPr>
        <w:t>V/DCP/15/0031</w:t>
      </w:r>
    </w:p>
    <w:p w14:paraId="4EA78FDB" w14:textId="77777777" w:rsidR="00F651AE" w:rsidRDefault="00F651AE" w:rsidP="00EF0F41">
      <w:pPr>
        <w:spacing w:line="240" w:lineRule="auto"/>
        <w:jc w:val="both"/>
        <w:rPr>
          <w:b/>
          <w:szCs w:val="22"/>
        </w:rPr>
      </w:pPr>
    </w:p>
    <w:p w14:paraId="0D469197" w14:textId="77777777" w:rsidR="00AE4054" w:rsidRDefault="00AE4054" w:rsidP="00EF0F41">
      <w:pPr>
        <w:spacing w:line="240" w:lineRule="auto"/>
        <w:jc w:val="both"/>
        <w:rPr>
          <w:b/>
          <w:szCs w:val="22"/>
        </w:rPr>
      </w:pPr>
    </w:p>
    <w:p w14:paraId="674BF6D7" w14:textId="77777777" w:rsidR="00AC0C78" w:rsidRDefault="00AC0C78" w:rsidP="00EF0F41">
      <w:pPr>
        <w:spacing w:line="240" w:lineRule="auto"/>
        <w:jc w:val="both"/>
        <w:rPr>
          <w:b/>
          <w:szCs w:val="22"/>
          <w:lang w:val="lv-LV"/>
        </w:rPr>
      </w:pPr>
      <w:r w:rsidRPr="008D01C1">
        <w:rPr>
          <w:b/>
          <w:szCs w:val="22"/>
        </w:rPr>
        <w:t>1.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VETERINĀRO ZĀĻU NOSAUKUMS</w:t>
      </w:r>
    </w:p>
    <w:p w14:paraId="68497DA7" w14:textId="77777777" w:rsidR="00AE4054" w:rsidRPr="00AE4054" w:rsidRDefault="00AE4054" w:rsidP="00EF0F41">
      <w:pPr>
        <w:spacing w:line="240" w:lineRule="auto"/>
        <w:jc w:val="both"/>
        <w:rPr>
          <w:szCs w:val="22"/>
          <w:lang w:val="lv-LV"/>
        </w:rPr>
      </w:pPr>
    </w:p>
    <w:p w14:paraId="666670EB" w14:textId="77777777" w:rsidR="00AC0C78" w:rsidRPr="009816A4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9A5643">
        <w:rPr>
          <w:b/>
          <w:szCs w:val="22"/>
          <w:lang w:val="lv-LV"/>
        </w:rPr>
        <w:t xml:space="preserve">Effipro </w:t>
      </w:r>
      <w:r w:rsidR="00B825CC">
        <w:rPr>
          <w:b/>
          <w:szCs w:val="22"/>
          <w:lang w:val="lv-LV"/>
        </w:rPr>
        <w:t>Duo</w:t>
      </w:r>
      <w:r w:rsidR="00B825CC" w:rsidRPr="009A5643">
        <w:rPr>
          <w:b/>
          <w:szCs w:val="22"/>
          <w:lang w:val="lv-LV"/>
        </w:rPr>
        <w:t xml:space="preserve"> </w:t>
      </w:r>
      <w:r w:rsidRPr="009A5643">
        <w:rPr>
          <w:b/>
          <w:szCs w:val="22"/>
          <w:lang w:val="lv-LV"/>
        </w:rPr>
        <w:t>402 mg/120 mg</w:t>
      </w:r>
      <w:r w:rsidRPr="008D01C1">
        <w:rPr>
          <w:szCs w:val="22"/>
          <w:lang w:val="lv-LV"/>
        </w:rPr>
        <w:t xml:space="preserve"> šķīdums pilināšanai uz ādas </w:t>
      </w:r>
      <w:r w:rsidR="006D43B8">
        <w:rPr>
          <w:szCs w:val="22"/>
          <w:lang w:val="lv-LV"/>
        </w:rPr>
        <w:t xml:space="preserve">ļoti liela </w:t>
      </w:r>
      <w:r w:rsidR="009A5643">
        <w:rPr>
          <w:szCs w:val="22"/>
          <w:lang w:val="lv-LV"/>
        </w:rPr>
        <w:t xml:space="preserve">auguma </w:t>
      </w:r>
      <w:r w:rsidRPr="008D01C1">
        <w:rPr>
          <w:szCs w:val="22"/>
          <w:lang w:val="lv-LV"/>
        </w:rPr>
        <w:t>suņiem</w:t>
      </w:r>
    </w:p>
    <w:p w14:paraId="0306CDE1" w14:textId="77777777" w:rsidR="00AC0C78" w:rsidRPr="009816A4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3714D06F" w14:textId="77777777" w:rsidR="00AC0C78" w:rsidRPr="009816A4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348D05CC" w14:textId="77777777" w:rsidR="00AC0C78" w:rsidRPr="008D01C1" w:rsidRDefault="00AC0C78" w:rsidP="0048201A">
      <w:pPr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2.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KVALITATĪVAIS UN KVANTITATĪVAIS SASTĀVS</w:t>
      </w:r>
    </w:p>
    <w:p w14:paraId="21243AED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F56B72" w14:textId="77777777" w:rsidR="00AC0C78" w:rsidRPr="008D01C1" w:rsidRDefault="00AC0C78" w:rsidP="0048201A">
      <w:pPr>
        <w:tabs>
          <w:tab w:val="left" w:pos="1701"/>
        </w:tabs>
        <w:jc w:val="both"/>
        <w:rPr>
          <w:szCs w:val="22"/>
        </w:rPr>
      </w:pPr>
      <w:r w:rsidRPr="008D01C1">
        <w:rPr>
          <w:szCs w:val="22"/>
          <w:lang w:val="lv-LV"/>
        </w:rPr>
        <w:t>Viena 4,02 ml pipete satur:</w:t>
      </w:r>
    </w:p>
    <w:p w14:paraId="3327A39F" w14:textId="77777777" w:rsidR="00AC0C78" w:rsidRPr="008D01C1" w:rsidRDefault="00AC0C78" w:rsidP="0048201A">
      <w:pPr>
        <w:tabs>
          <w:tab w:val="left" w:pos="1701"/>
        </w:tabs>
        <w:jc w:val="both"/>
        <w:rPr>
          <w:szCs w:val="22"/>
        </w:rPr>
      </w:pPr>
    </w:p>
    <w:tbl>
      <w:tblPr>
        <w:tblW w:w="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334"/>
      </w:tblGrid>
      <w:tr w:rsidR="006D43B8" w:rsidRPr="008D01C1" w14:paraId="260BC77F" w14:textId="77777777" w:rsidTr="00922335">
        <w:trPr>
          <w:trHeight w:val="276"/>
        </w:trPr>
        <w:tc>
          <w:tcPr>
            <w:tcW w:w="3369" w:type="dxa"/>
          </w:tcPr>
          <w:p w14:paraId="12BCCEE0" w14:textId="77777777" w:rsidR="006D43B8" w:rsidRPr="008D01C1" w:rsidRDefault="006D43B8" w:rsidP="0048201A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b/>
                <w:szCs w:val="22"/>
                <w:lang w:val="lv-LV"/>
              </w:rPr>
              <w:t>Aktīvās vielas:</w:t>
            </w:r>
          </w:p>
        </w:tc>
        <w:tc>
          <w:tcPr>
            <w:tcW w:w="2334" w:type="dxa"/>
          </w:tcPr>
          <w:p w14:paraId="70591F1E" w14:textId="77777777" w:rsidR="006D43B8" w:rsidRPr="008D01C1" w:rsidRDefault="006D43B8" w:rsidP="0048201A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b/>
                <w:szCs w:val="22"/>
                <w:lang w:val="lv-LV"/>
              </w:rPr>
              <w:t>4,02 ml pipete</w:t>
            </w:r>
          </w:p>
        </w:tc>
      </w:tr>
      <w:tr w:rsidR="006D43B8" w:rsidRPr="008D01C1" w14:paraId="53374E99" w14:textId="77777777" w:rsidTr="00922335">
        <w:trPr>
          <w:trHeight w:val="260"/>
        </w:trPr>
        <w:tc>
          <w:tcPr>
            <w:tcW w:w="3369" w:type="dxa"/>
          </w:tcPr>
          <w:p w14:paraId="2CF127E2" w14:textId="77777777" w:rsidR="006D43B8" w:rsidRPr="008D01C1" w:rsidRDefault="006D43B8" w:rsidP="00EF0F41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Fipronils</w:t>
            </w:r>
          </w:p>
        </w:tc>
        <w:tc>
          <w:tcPr>
            <w:tcW w:w="2334" w:type="dxa"/>
          </w:tcPr>
          <w:p w14:paraId="3A93CD49" w14:textId="77777777" w:rsidR="006D43B8" w:rsidRPr="008D01C1" w:rsidRDefault="006D43B8" w:rsidP="0048201A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402,00</w:t>
            </w:r>
          </w:p>
        </w:tc>
      </w:tr>
      <w:tr w:rsidR="006D43B8" w:rsidRPr="008D01C1" w14:paraId="666C6ACF" w14:textId="77777777" w:rsidTr="00922335">
        <w:trPr>
          <w:trHeight w:val="276"/>
        </w:trPr>
        <w:tc>
          <w:tcPr>
            <w:tcW w:w="3369" w:type="dxa"/>
          </w:tcPr>
          <w:p w14:paraId="0BCF1EB3" w14:textId="77777777" w:rsidR="006D43B8" w:rsidRPr="008D01C1" w:rsidRDefault="006D43B8" w:rsidP="00EF0F41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Piriproksifēns</w:t>
            </w:r>
          </w:p>
        </w:tc>
        <w:tc>
          <w:tcPr>
            <w:tcW w:w="2334" w:type="dxa"/>
          </w:tcPr>
          <w:p w14:paraId="23D967B6" w14:textId="77777777" w:rsidR="006D43B8" w:rsidRPr="008D01C1" w:rsidRDefault="006D43B8" w:rsidP="0048201A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120,60</w:t>
            </w:r>
          </w:p>
        </w:tc>
      </w:tr>
      <w:tr w:rsidR="006D43B8" w:rsidRPr="008D01C1" w14:paraId="1FE7F367" w14:textId="77777777" w:rsidTr="00922335">
        <w:trPr>
          <w:trHeight w:val="276"/>
        </w:trPr>
        <w:tc>
          <w:tcPr>
            <w:tcW w:w="3369" w:type="dxa"/>
          </w:tcPr>
          <w:p w14:paraId="684A8228" w14:textId="77777777" w:rsidR="006D43B8" w:rsidRPr="008D01C1" w:rsidRDefault="006D43B8" w:rsidP="00EF0F41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b/>
                <w:szCs w:val="22"/>
                <w:lang w:val="lv-LV"/>
              </w:rPr>
              <w:t>Palīgvielas</w:t>
            </w:r>
          </w:p>
        </w:tc>
        <w:tc>
          <w:tcPr>
            <w:tcW w:w="2334" w:type="dxa"/>
          </w:tcPr>
          <w:p w14:paraId="0D701525" w14:textId="77777777" w:rsidR="006D43B8" w:rsidRPr="008D01C1" w:rsidRDefault="006D43B8" w:rsidP="0048201A">
            <w:pPr>
              <w:tabs>
                <w:tab w:val="left" w:pos="1701"/>
              </w:tabs>
              <w:jc w:val="both"/>
              <w:rPr>
                <w:szCs w:val="22"/>
              </w:rPr>
            </w:pPr>
          </w:p>
        </w:tc>
      </w:tr>
      <w:tr w:rsidR="006D43B8" w:rsidRPr="008D01C1" w14:paraId="08D6A7EA" w14:textId="77777777" w:rsidTr="00922335">
        <w:trPr>
          <w:trHeight w:val="276"/>
        </w:trPr>
        <w:tc>
          <w:tcPr>
            <w:tcW w:w="3369" w:type="dxa"/>
          </w:tcPr>
          <w:p w14:paraId="20716A6C" w14:textId="77777777" w:rsidR="006D43B8" w:rsidRPr="008D01C1" w:rsidRDefault="006D43B8" w:rsidP="00EF0F41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Butilhidroksianizols</w:t>
            </w:r>
            <w:r w:rsidR="00922335">
              <w:rPr>
                <w:szCs w:val="22"/>
                <w:lang w:val="lv-LV"/>
              </w:rPr>
              <w:t xml:space="preserve"> E320</w:t>
            </w:r>
          </w:p>
        </w:tc>
        <w:tc>
          <w:tcPr>
            <w:tcW w:w="2334" w:type="dxa"/>
          </w:tcPr>
          <w:p w14:paraId="3A0C66F5" w14:textId="77777777" w:rsidR="006D43B8" w:rsidRPr="008D01C1" w:rsidRDefault="006D43B8" w:rsidP="0048201A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0,804</w:t>
            </w:r>
          </w:p>
        </w:tc>
      </w:tr>
      <w:tr w:rsidR="006D43B8" w:rsidRPr="008D01C1" w14:paraId="4990FE5A" w14:textId="77777777" w:rsidTr="00922335">
        <w:trPr>
          <w:trHeight w:val="292"/>
        </w:trPr>
        <w:tc>
          <w:tcPr>
            <w:tcW w:w="3369" w:type="dxa"/>
          </w:tcPr>
          <w:p w14:paraId="2DF4667E" w14:textId="77777777" w:rsidR="006D43B8" w:rsidRPr="008D01C1" w:rsidRDefault="006D43B8" w:rsidP="00EF0F41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Butilhidroksitoluols</w:t>
            </w:r>
            <w:r w:rsidR="00922335">
              <w:rPr>
                <w:szCs w:val="22"/>
                <w:lang w:val="lv-LV"/>
              </w:rPr>
              <w:t xml:space="preserve"> E321</w:t>
            </w:r>
          </w:p>
        </w:tc>
        <w:tc>
          <w:tcPr>
            <w:tcW w:w="2334" w:type="dxa"/>
          </w:tcPr>
          <w:p w14:paraId="140CC93E" w14:textId="77777777" w:rsidR="006D43B8" w:rsidRPr="008D01C1" w:rsidRDefault="006D43B8" w:rsidP="0048201A">
            <w:pPr>
              <w:tabs>
                <w:tab w:val="left" w:pos="1701"/>
              </w:tabs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0,402</w:t>
            </w:r>
          </w:p>
        </w:tc>
      </w:tr>
    </w:tbl>
    <w:p w14:paraId="5A7AB0B0" w14:textId="77777777" w:rsidR="00AC0C78" w:rsidRPr="008D01C1" w:rsidRDefault="00AC0C78" w:rsidP="00EF0F41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2FD942A7" w14:textId="77777777" w:rsidR="00AC0C78" w:rsidRPr="008D01C1" w:rsidRDefault="00AC0C78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Pilnu palīgvielu sarakstu skatīt 6.1. apakšpunktā.</w:t>
      </w:r>
    </w:p>
    <w:p w14:paraId="3CDEDE07" w14:textId="77777777" w:rsidR="00AC0C78" w:rsidRPr="008D01C1" w:rsidRDefault="00AC0C78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CF898D2" w14:textId="77777777" w:rsidR="00AC0C78" w:rsidRPr="008D01C1" w:rsidRDefault="00AC0C78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80B87CD" w14:textId="77777777" w:rsidR="00AC0C78" w:rsidRPr="008D01C1" w:rsidRDefault="00AC0C78" w:rsidP="0048201A">
      <w:pPr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3.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ZĀĻU FORMA</w:t>
      </w:r>
    </w:p>
    <w:p w14:paraId="6D65C9AB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F68B3F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Šķīdums pilināšanai uz ādas.</w:t>
      </w:r>
    </w:p>
    <w:p w14:paraId="3148DFE8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Dzidrs, bezkrāsains līdz iedzeltens šķīdums.</w:t>
      </w:r>
    </w:p>
    <w:p w14:paraId="53C29009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1C916B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03A224" w14:textId="77777777" w:rsidR="00AC0C78" w:rsidRPr="008D01C1" w:rsidRDefault="00AC0C78" w:rsidP="0048201A">
      <w:pPr>
        <w:spacing w:line="240" w:lineRule="auto"/>
        <w:jc w:val="both"/>
        <w:rPr>
          <w:b/>
          <w:szCs w:val="22"/>
        </w:rPr>
      </w:pPr>
      <w:r w:rsidRPr="008D01C1">
        <w:rPr>
          <w:b/>
          <w:szCs w:val="22"/>
        </w:rPr>
        <w:t>4.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KLĪNISKĀ INFORMĀCIJA</w:t>
      </w:r>
    </w:p>
    <w:p w14:paraId="57702AF9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2D81E1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D01C1">
        <w:rPr>
          <w:b/>
          <w:szCs w:val="22"/>
        </w:rPr>
        <w:t>4.1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Mērķa sugas</w:t>
      </w:r>
    </w:p>
    <w:p w14:paraId="3DDC4C09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5DD10E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Suņi (40-60 kg)</w:t>
      </w:r>
      <w:r w:rsidR="00AE4054">
        <w:rPr>
          <w:szCs w:val="22"/>
          <w:lang w:val="lv-LV"/>
        </w:rPr>
        <w:t>.</w:t>
      </w:r>
    </w:p>
    <w:p w14:paraId="7529F37A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56E9703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4.2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Lietošanas indikācijas, norādot mērķa sugas</w:t>
      </w:r>
    </w:p>
    <w:p w14:paraId="5EA44C7E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176805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Lietošanai pret blusu vai blusu un ērču invāziju.</w:t>
      </w:r>
    </w:p>
    <w:p w14:paraId="7CFE7762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36D633" w14:textId="77777777" w:rsidR="00AC0C78" w:rsidRPr="00561152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561152">
        <w:rPr>
          <w:szCs w:val="22"/>
          <w:u w:val="single"/>
          <w:lang w:val="lv-LV"/>
        </w:rPr>
        <w:t>Pret blusām</w:t>
      </w:r>
    </w:p>
    <w:p w14:paraId="57C43612" w14:textId="5ED7171F" w:rsidR="00AC0C78" w:rsidRPr="00561152" w:rsidRDefault="00AC0C78" w:rsidP="0048201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Blusu </w:t>
      </w:r>
      <w:r w:rsidRPr="00561152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 xml:space="preserve">(Ctenocephalides felis) </w:t>
      </w:r>
      <w:r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invāzijas ārstēšana</w:t>
      </w:r>
      <w:r w:rsidR="009A5643"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i</w:t>
      </w:r>
      <w:r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un </w:t>
      </w:r>
      <w:r w:rsidR="00A96C34" w:rsidRPr="00561152">
        <w:rPr>
          <w:rFonts w:ascii="Times New Roman" w:hAnsi="Times New Roman" w:cs="Times New Roman"/>
          <w:sz w:val="22"/>
          <w:szCs w:val="22"/>
          <w:lang w:val="lv-LV"/>
        </w:rPr>
        <w:t>kontrol</w:t>
      </w:r>
      <w:r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e</w:t>
      </w:r>
      <w:r w:rsidR="009A5643"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i</w:t>
      </w:r>
      <w:r w:rsidRPr="00561152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.</w:t>
      </w:r>
      <w:r w:rsidRPr="00561152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  <w:r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Viena </w:t>
      </w:r>
      <w:r w:rsid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aplicēšana</w:t>
      </w:r>
      <w:r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novērš turpmāk</w:t>
      </w:r>
      <w:r w:rsidR="009A5643"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o</w:t>
      </w:r>
      <w:r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invāziju 7 nedēļ</w:t>
      </w:r>
      <w:r w:rsidR="002A5FE8"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as</w:t>
      </w:r>
      <w:r w:rsidRP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</w:p>
    <w:p w14:paraId="1D5B3EB0" w14:textId="77777777" w:rsidR="00AC0C78" w:rsidRPr="0075459B" w:rsidRDefault="00AC0C78" w:rsidP="0048201A">
      <w:pPr>
        <w:tabs>
          <w:tab w:val="left" w:pos="284"/>
          <w:tab w:val="left" w:pos="993"/>
          <w:tab w:val="right" w:leader="dot" w:pos="8640"/>
        </w:tabs>
        <w:jc w:val="both"/>
        <w:rPr>
          <w:szCs w:val="22"/>
        </w:rPr>
      </w:pPr>
      <w:r w:rsidRPr="007F2F38">
        <w:rPr>
          <w:szCs w:val="22"/>
          <w:lang w:val="lv-LV"/>
        </w:rPr>
        <w:t xml:space="preserve">Blusu vairošanās </w:t>
      </w:r>
      <w:r w:rsidR="00A96C34" w:rsidRPr="007F2F38">
        <w:rPr>
          <w:szCs w:val="22"/>
          <w:lang w:val="lv-LV"/>
        </w:rPr>
        <w:t>kontrol</w:t>
      </w:r>
      <w:r w:rsidRPr="007F2F38">
        <w:rPr>
          <w:szCs w:val="22"/>
          <w:lang w:val="lv-LV"/>
        </w:rPr>
        <w:t>e</w:t>
      </w:r>
      <w:r w:rsidR="002A5FE8" w:rsidRPr="00857584">
        <w:rPr>
          <w:szCs w:val="22"/>
          <w:lang w:val="lv-LV"/>
        </w:rPr>
        <w:t>i</w:t>
      </w:r>
      <w:r w:rsidRPr="00857584">
        <w:rPr>
          <w:szCs w:val="22"/>
          <w:lang w:val="lv-LV"/>
        </w:rPr>
        <w:t xml:space="preserve">, </w:t>
      </w:r>
      <w:r w:rsidR="002A5FE8" w:rsidRPr="00857584">
        <w:rPr>
          <w:szCs w:val="22"/>
          <w:lang w:val="lv-LV"/>
        </w:rPr>
        <w:t xml:space="preserve">neļaujot no blusu oliņām attīstīties pieaugušām blusām </w:t>
      </w:r>
      <w:r w:rsidRPr="00857584">
        <w:rPr>
          <w:szCs w:val="22"/>
          <w:lang w:val="lv-LV"/>
        </w:rPr>
        <w:t>12 nedēļ</w:t>
      </w:r>
      <w:r w:rsidR="00AE4054" w:rsidRPr="00857584">
        <w:rPr>
          <w:szCs w:val="22"/>
          <w:lang w:val="lv-LV"/>
        </w:rPr>
        <w:t>a</w:t>
      </w:r>
      <w:r w:rsidR="002A5FE8" w:rsidRPr="00860C40">
        <w:rPr>
          <w:szCs w:val="22"/>
          <w:lang w:val="lv-LV"/>
        </w:rPr>
        <w:t>s</w:t>
      </w:r>
      <w:r w:rsidRPr="0075459B">
        <w:rPr>
          <w:szCs w:val="22"/>
          <w:lang w:val="lv-LV"/>
        </w:rPr>
        <w:t xml:space="preserve"> pēc lietošanas.</w:t>
      </w:r>
    </w:p>
    <w:p w14:paraId="508099DD" w14:textId="75FC5F49" w:rsidR="00AC0C78" w:rsidRPr="0075459B" w:rsidRDefault="00AC0C78" w:rsidP="004820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75459B">
        <w:rPr>
          <w:rFonts w:ascii="Times New Roman" w:hAnsi="Times New Roman" w:cs="Times New Roman"/>
          <w:color w:val="auto"/>
          <w:sz w:val="22"/>
          <w:szCs w:val="22"/>
          <w:lang w:val="lv-LV"/>
        </w:rPr>
        <w:t>Šīs zāles var lietot kā daļu no ārstēšanas stratēģijas, lai kontrolētu blusu alerģisko dermatītu (BAD), ja to iepriekš diagnosticējis veterinārārsts.</w:t>
      </w:r>
    </w:p>
    <w:p w14:paraId="709B8867" w14:textId="77777777" w:rsidR="00AC0C78" w:rsidRPr="008D01C1" w:rsidRDefault="00AC0C78" w:rsidP="0048201A">
      <w:pPr>
        <w:tabs>
          <w:tab w:val="left" w:pos="284"/>
          <w:tab w:val="left" w:pos="993"/>
          <w:tab w:val="right" w:leader="dot" w:pos="8640"/>
        </w:tabs>
        <w:jc w:val="both"/>
        <w:rPr>
          <w:szCs w:val="22"/>
        </w:rPr>
      </w:pPr>
    </w:p>
    <w:p w14:paraId="19CCBE72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8D01C1">
        <w:rPr>
          <w:szCs w:val="22"/>
          <w:u w:val="single"/>
          <w:lang w:val="lv-LV"/>
        </w:rPr>
        <w:t>Pret ērcēm</w:t>
      </w:r>
    </w:p>
    <w:p w14:paraId="5EB2EBF6" w14:textId="77777777" w:rsidR="00AC0C78" w:rsidRPr="008D01C1" w:rsidRDefault="00AC0C78" w:rsidP="0048201A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>Ērču (</w:t>
      </w:r>
      <w:r w:rsidRPr="008D01C1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 xml:space="preserve">Ixodes ricinus) 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>invāzijas ārstēšana</w:t>
      </w:r>
      <w:r w:rsidR="002A5FE8">
        <w:rPr>
          <w:rFonts w:ascii="Times New Roman" w:hAnsi="Times New Roman" w:cs="Times New Roman"/>
          <w:color w:val="auto"/>
          <w:sz w:val="22"/>
          <w:szCs w:val="22"/>
          <w:lang w:val="lv-LV"/>
        </w:rPr>
        <w:t>i</w:t>
      </w:r>
      <w:r w:rsidRPr="008D01C1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.</w:t>
      </w:r>
      <w:r w:rsidRPr="008D01C1">
        <w:rPr>
          <w:rFonts w:ascii="Times New Roman" w:hAnsi="Times New Roman" w:cs="Times New Roman"/>
          <w:i/>
          <w:color w:val="auto"/>
          <w:sz w:val="22"/>
          <w:szCs w:val="22"/>
          <w:lang w:val="en-GB"/>
        </w:rPr>
        <w:t xml:space="preserve"> </w:t>
      </w:r>
    </w:p>
    <w:p w14:paraId="11132053" w14:textId="6DE06D20" w:rsidR="00AC0C78" w:rsidRPr="008D01C1" w:rsidRDefault="00AC0C78" w:rsidP="004820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Viena </w:t>
      </w:r>
      <w:r w:rsid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aplicēšana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nodrošina noturīgu </w:t>
      </w:r>
      <w:r w:rsidR="002A5FE8">
        <w:rPr>
          <w:rFonts w:ascii="Times New Roman" w:hAnsi="Times New Roman" w:cs="Times New Roman"/>
          <w:color w:val="auto"/>
          <w:sz w:val="22"/>
          <w:szCs w:val="22"/>
          <w:lang w:val="lv-LV"/>
        </w:rPr>
        <w:t>pretērču iedarbību</w:t>
      </w:r>
      <w:r w:rsid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</w:t>
      </w:r>
      <w:r w:rsidR="006D43B8">
        <w:rPr>
          <w:rFonts w:ascii="Times New Roman" w:hAnsi="Times New Roman" w:cs="Times New Roman"/>
          <w:color w:val="auto"/>
          <w:sz w:val="22"/>
          <w:szCs w:val="22"/>
          <w:lang w:val="lv-LV"/>
        </w:rPr>
        <w:t>2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> nedēļ</w:t>
      </w:r>
      <w:r w:rsidR="002A5FE8">
        <w:rPr>
          <w:rFonts w:ascii="Times New Roman" w:hAnsi="Times New Roman" w:cs="Times New Roman"/>
          <w:color w:val="auto"/>
          <w:sz w:val="22"/>
          <w:szCs w:val="22"/>
          <w:lang w:val="lv-LV"/>
        </w:rPr>
        <w:t>as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pret </w:t>
      </w:r>
      <w:r w:rsidRPr="008D01C1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 xml:space="preserve">Ixodes ricinus 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>un 4 nedēļ</w:t>
      </w:r>
      <w:r w:rsidR="002A5FE8">
        <w:rPr>
          <w:rFonts w:ascii="Times New Roman" w:hAnsi="Times New Roman" w:cs="Times New Roman"/>
          <w:color w:val="auto"/>
          <w:sz w:val="22"/>
          <w:szCs w:val="22"/>
          <w:lang w:val="lv-LV"/>
        </w:rPr>
        <w:t>as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pret </w:t>
      </w:r>
      <w:r w:rsidRPr="008D01C1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Dermacentor reticulatus</w:t>
      </w:r>
      <w:r w:rsidRPr="008D01C1">
        <w:rPr>
          <w:rFonts w:ascii="Times New Roman" w:hAnsi="Times New Roman" w:cs="Times New Roman"/>
          <w:b/>
          <w:color w:val="auto"/>
          <w:sz w:val="22"/>
          <w:szCs w:val="22"/>
          <w:lang w:val="lv-LV"/>
        </w:rPr>
        <w:t xml:space="preserve"> 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un </w:t>
      </w:r>
      <w:r w:rsidRPr="008D01C1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Rhipicephalus sanguineus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>.</w:t>
      </w:r>
    </w:p>
    <w:p w14:paraId="25CBCF78" w14:textId="55C75D55" w:rsidR="00AC0C78" w:rsidRPr="008D01C1" w:rsidRDefault="00AC0C78" w:rsidP="004820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Ja </w:t>
      </w:r>
      <w:r w:rsidR="00561152">
        <w:rPr>
          <w:rFonts w:ascii="Times New Roman" w:hAnsi="Times New Roman" w:cs="Times New Roman"/>
          <w:color w:val="auto"/>
          <w:sz w:val="22"/>
          <w:szCs w:val="22"/>
          <w:lang w:val="lv-LV"/>
        </w:rPr>
        <w:t>aplicēšana</w:t>
      </w:r>
      <w:r w:rsidR="00857584">
        <w:rPr>
          <w:rFonts w:ascii="Times New Roman" w:hAnsi="Times New Roman" w:cs="Times New Roman"/>
          <w:color w:val="auto"/>
          <w:sz w:val="22"/>
          <w:szCs w:val="22"/>
          <w:lang w:val="lv-LV"/>
        </w:rPr>
        <w:t>s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 laikā dzīvniekam </w:t>
      </w:r>
      <w:r w:rsidR="002A5FE8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jau 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>ir dažu sugu ērces (</w:t>
      </w:r>
      <w:r w:rsidRPr="008D01C1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Dermacentor reticulatus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, </w:t>
      </w:r>
      <w:r w:rsidRPr="008D01C1">
        <w:rPr>
          <w:rFonts w:ascii="Times New Roman" w:hAnsi="Times New Roman" w:cs="Times New Roman"/>
          <w:i/>
          <w:color w:val="auto"/>
          <w:sz w:val="22"/>
          <w:szCs w:val="22"/>
          <w:lang w:val="lv-LV"/>
        </w:rPr>
        <w:t>Rhipicephalus sanguineus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), </w:t>
      </w:r>
      <w:r w:rsidR="002A5FE8">
        <w:rPr>
          <w:rFonts w:ascii="Times New Roman" w:hAnsi="Times New Roman" w:cs="Times New Roman"/>
          <w:color w:val="auto"/>
          <w:sz w:val="22"/>
          <w:szCs w:val="22"/>
          <w:lang w:val="lv-LV"/>
        </w:rPr>
        <w:t xml:space="preserve">ne </w:t>
      </w:r>
      <w:r w:rsidRPr="008D01C1">
        <w:rPr>
          <w:rFonts w:ascii="Times New Roman" w:hAnsi="Times New Roman" w:cs="Times New Roman"/>
          <w:color w:val="auto"/>
          <w:sz w:val="22"/>
          <w:szCs w:val="22"/>
          <w:lang w:val="lv-LV"/>
        </w:rPr>
        <w:t>visas ērces 48 stundu laikā var tikt nogalinātas.</w:t>
      </w:r>
    </w:p>
    <w:p w14:paraId="16E2F4BB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BD35E03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lastRenderedPageBreak/>
        <w:t>4.3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Kontrindikācijas</w:t>
      </w:r>
    </w:p>
    <w:p w14:paraId="16CA55C9" w14:textId="77777777" w:rsidR="00AC0C78" w:rsidRPr="008D01C1" w:rsidRDefault="00AC0C78" w:rsidP="0048201A">
      <w:pPr>
        <w:tabs>
          <w:tab w:val="left" w:pos="720"/>
        </w:tabs>
        <w:jc w:val="both"/>
        <w:rPr>
          <w:szCs w:val="22"/>
        </w:rPr>
      </w:pPr>
    </w:p>
    <w:p w14:paraId="6B49B870" w14:textId="2F80BE22" w:rsidR="00AC0C78" w:rsidRPr="008D01C1" w:rsidRDefault="00AC0C78" w:rsidP="0048201A">
      <w:pPr>
        <w:tabs>
          <w:tab w:val="left" w:pos="720"/>
        </w:tabs>
        <w:jc w:val="both"/>
        <w:rPr>
          <w:szCs w:val="22"/>
        </w:rPr>
      </w:pPr>
      <w:r w:rsidRPr="008D01C1">
        <w:rPr>
          <w:szCs w:val="22"/>
          <w:lang w:val="lv-LV"/>
        </w:rPr>
        <w:t>Nelietot trušiem, jo var rasties blakusparādības</w:t>
      </w:r>
      <w:r w:rsidR="00561152">
        <w:rPr>
          <w:szCs w:val="22"/>
          <w:lang w:val="lv-LV"/>
        </w:rPr>
        <w:t xml:space="preserve"> un</w:t>
      </w:r>
      <w:r w:rsidRPr="008D01C1">
        <w:rPr>
          <w:szCs w:val="22"/>
          <w:lang w:val="lv-LV"/>
        </w:rPr>
        <w:t xml:space="preserve"> </w:t>
      </w:r>
      <w:r w:rsidR="002A5FE8">
        <w:rPr>
          <w:szCs w:val="22"/>
          <w:lang w:val="lv-LV"/>
        </w:rPr>
        <w:t xml:space="preserve">var </w:t>
      </w:r>
      <w:r w:rsidR="00561152">
        <w:rPr>
          <w:szCs w:val="22"/>
          <w:lang w:val="lv-LV"/>
        </w:rPr>
        <w:t xml:space="preserve">pat </w:t>
      </w:r>
      <w:r w:rsidR="002A5FE8">
        <w:rPr>
          <w:szCs w:val="22"/>
          <w:lang w:val="lv-LV"/>
        </w:rPr>
        <w:t>iestāties nāve</w:t>
      </w:r>
      <w:r w:rsidRPr="008D01C1">
        <w:rPr>
          <w:szCs w:val="22"/>
          <w:lang w:val="lv-LV"/>
        </w:rPr>
        <w:t>.</w:t>
      </w:r>
    </w:p>
    <w:p w14:paraId="06359847" w14:textId="77777777" w:rsidR="00AC0C78" w:rsidRPr="008D01C1" w:rsidRDefault="00AC0C78" w:rsidP="0048201A">
      <w:pPr>
        <w:jc w:val="both"/>
        <w:rPr>
          <w:szCs w:val="22"/>
        </w:rPr>
      </w:pPr>
      <w:r w:rsidRPr="008D01C1">
        <w:rPr>
          <w:szCs w:val="22"/>
          <w:lang w:val="lv-LV"/>
        </w:rPr>
        <w:t>Nelietot</w:t>
      </w:r>
      <w:r w:rsidR="0048201A">
        <w:rPr>
          <w:szCs w:val="22"/>
          <w:lang w:val="lv-LV"/>
        </w:rPr>
        <w:t xml:space="preserve"> gadījumos</w:t>
      </w:r>
      <w:r w:rsidRPr="008D01C1">
        <w:rPr>
          <w:szCs w:val="22"/>
          <w:lang w:val="lv-LV"/>
        </w:rPr>
        <w:t>, ja konstatēta pastiprināta jutība pret aktīvajām vielām vai pret kādu no palīgvielām.</w:t>
      </w:r>
    </w:p>
    <w:p w14:paraId="511F8B5F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32A277" w14:textId="790AE95A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D01C1">
        <w:rPr>
          <w:b/>
          <w:szCs w:val="22"/>
        </w:rPr>
        <w:t>4.4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 xml:space="preserve">Īpaši </w:t>
      </w:r>
      <w:r w:rsidR="00922335" w:rsidRPr="002652D3">
        <w:rPr>
          <w:b/>
          <w:color w:val="000000"/>
          <w:lang w:val="lv-LV"/>
        </w:rPr>
        <w:t xml:space="preserve">brīdinājumi </w:t>
      </w:r>
      <w:r w:rsidR="00922335">
        <w:rPr>
          <w:b/>
          <w:color w:val="000000"/>
          <w:lang w:val="lv-LV"/>
        </w:rPr>
        <w:t>katrai mērķa sugai</w:t>
      </w:r>
    </w:p>
    <w:p w14:paraId="2B8F78BD" w14:textId="77777777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3A17A568" w14:textId="14A7546A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 xml:space="preserve">Dzīvnieka mazgāšana ar šampūnu vai iegremdēšana ūdenī tūlīt pēc </w:t>
      </w:r>
      <w:r w:rsidR="00561152">
        <w:rPr>
          <w:szCs w:val="22"/>
          <w:lang w:val="lv-LV"/>
        </w:rPr>
        <w:t>aplicēšanas</w:t>
      </w:r>
      <w:r w:rsidRPr="008D01C1">
        <w:rPr>
          <w:szCs w:val="22"/>
          <w:lang w:val="lv-LV"/>
        </w:rPr>
        <w:t xml:space="preserve"> var saīsināt zāļu </w:t>
      </w:r>
      <w:r w:rsidR="00561152">
        <w:rPr>
          <w:szCs w:val="22"/>
          <w:lang w:val="lv-LV"/>
        </w:rPr>
        <w:t>ie</w:t>
      </w:r>
      <w:r w:rsidRPr="008D01C1">
        <w:rPr>
          <w:szCs w:val="22"/>
          <w:lang w:val="lv-LV"/>
        </w:rPr>
        <w:t>darbības laiku.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 xml:space="preserve">Ja suni pēc </w:t>
      </w:r>
      <w:r w:rsidR="00561152">
        <w:rPr>
          <w:szCs w:val="22"/>
          <w:lang w:val="lv-LV"/>
        </w:rPr>
        <w:t>aplicēšanas</w:t>
      </w:r>
      <w:r w:rsidRPr="008D01C1">
        <w:rPr>
          <w:szCs w:val="22"/>
          <w:lang w:val="lv-LV"/>
        </w:rPr>
        <w:t xml:space="preserve"> mazgā ar šampūnu vienu reizi mēnesī, zāles saglabā efektivitāti pret blusām </w:t>
      </w:r>
      <w:r w:rsidR="002A5FE8">
        <w:rPr>
          <w:szCs w:val="22"/>
          <w:lang w:val="lv-LV"/>
        </w:rPr>
        <w:t>5</w:t>
      </w:r>
      <w:r w:rsidRPr="008D01C1">
        <w:rPr>
          <w:szCs w:val="22"/>
          <w:lang w:val="lv-LV"/>
        </w:rPr>
        <w:t> nedēļ</w:t>
      </w:r>
      <w:r w:rsidR="002A5FE8">
        <w:rPr>
          <w:szCs w:val="22"/>
          <w:lang w:val="lv-LV"/>
        </w:rPr>
        <w:t>as</w:t>
      </w:r>
      <w:r w:rsidRPr="008D01C1">
        <w:rPr>
          <w:szCs w:val="22"/>
          <w:lang w:val="lv-LV"/>
        </w:rPr>
        <w:t>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 xml:space="preserve">Ja suni nepieciešams mazgāt ar šampūnu, labāk to darīt pirms </w:t>
      </w:r>
      <w:r w:rsidR="00561152">
        <w:rPr>
          <w:szCs w:val="22"/>
          <w:lang w:val="lv-LV"/>
        </w:rPr>
        <w:t>aplicēšanas</w:t>
      </w:r>
      <w:r w:rsidRPr="008D01C1">
        <w:rPr>
          <w:szCs w:val="22"/>
          <w:lang w:val="lv-LV"/>
        </w:rPr>
        <w:t>.</w:t>
      </w:r>
    </w:p>
    <w:p w14:paraId="383149D8" w14:textId="0DCDE9A7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 xml:space="preserve">Divreizēja iegremdēšana ūdenī pēc </w:t>
      </w:r>
      <w:r w:rsidR="00561152">
        <w:rPr>
          <w:szCs w:val="22"/>
          <w:lang w:val="lv-LV"/>
        </w:rPr>
        <w:t>aplicēšanas</w:t>
      </w:r>
      <w:r w:rsidRPr="008D01C1">
        <w:rPr>
          <w:szCs w:val="22"/>
          <w:lang w:val="lv-LV"/>
        </w:rPr>
        <w:t xml:space="preserve"> neietekmēja ne efektivitāti pret pieaugušām blusām, ne arī efektivitāti, kas saistīta ar pieaugušu blusu attīstības </w:t>
      </w:r>
      <w:r w:rsidR="00561152">
        <w:rPr>
          <w:szCs w:val="22"/>
          <w:lang w:val="lv-LV"/>
        </w:rPr>
        <w:t>novēršanu</w:t>
      </w:r>
      <w:r w:rsidR="00561152" w:rsidRPr="008D01C1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>no blusu oliņām.</w:t>
      </w:r>
      <w:r w:rsidRPr="008D01C1">
        <w:rPr>
          <w:szCs w:val="22"/>
        </w:rPr>
        <w:t xml:space="preserve"> </w:t>
      </w:r>
    </w:p>
    <w:p w14:paraId="55EAACBF" w14:textId="77777777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26F20DF4" w14:textId="77777777" w:rsidR="00AC0C78" w:rsidRPr="008D01C1" w:rsidRDefault="002A5FE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szCs w:val="22"/>
          <w:lang w:val="lv-LV"/>
        </w:rPr>
        <w:t>Nav pētīta s</w:t>
      </w:r>
      <w:r w:rsidR="00AC0C78" w:rsidRPr="008D01C1">
        <w:rPr>
          <w:szCs w:val="22"/>
          <w:lang w:val="lv-LV"/>
        </w:rPr>
        <w:t>uņa iegremdēšanas ūdenī vai mazgāšanas ar šampūnu ietekme uz šo zāļu efektivitāti pret ērcēm.</w:t>
      </w:r>
    </w:p>
    <w:p w14:paraId="2F0E1911" w14:textId="77777777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4AE46955" w14:textId="62341DDF" w:rsidR="00AC0C78" w:rsidRPr="008D01C1" w:rsidRDefault="00561152" w:rsidP="0048201A">
      <w:pPr>
        <w:jc w:val="both"/>
        <w:rPr>
          <w:szCs w:val="22"/>
        </w:rPr>
      </w:pPr>
      <w:r>
        <w:rPr>
          <w:szCs w:val="22"/>
          <w:lang w:val="lv-LV"/>
        </w:rPr>
        <w:t>I</w:t>
      </w:r>
      <w:r w:rsidRPr="00843406">
        <w:rPr>
          <w:szCs w:val="22"/>
          <w:lang w:val="lv-LV"/>
        </w:rPr>
        <w:t>nvāzija</w:t>
      </w:r>
      <w:r>
        <w:rPr>
          <w:szCs w:val="22"/>
          <w:lang w:val="lv-LV"/>
        </w:rPr>
        <w:t>s gadījumā</w:t>
      </w:r>
      <w:r w:rsidRPr="00843406">
        <w:rPr>
          <w:szCs w:val="22"/>
          <w:lang w:val="lv-LV"/>
        </w:rPr>
        <w:t xml:space="preserve">, kontroles pasākumu sākumā dzīvnieka grozs, guļvieta un </w:t>
      </w:r>
      <w:bookmarkStart w:id="0" w:name="_Hlk45642500"/>
      <w:r w:rsidRPr="003353D0">
        <w:rPr>
          <w:szCs w:val="22"/>
          <w:lang w:val="lv-LV"/>
        </w:rPr>
        <w:t>regulārās uzturēšanās viet</w:t>
      </w:r>
      <w:r>
        <w:rPr>
          <w:szCs w:val="22"/>
          <w:lang w:val="lv-LV"/>
        </w:rPr>
        <w:t>a</w:t>
      </w:r>
      <w:r w:rsidRPr="003353D0">
        <w:rPr>
          <w:szCs w:val="22"/>
          <w:lang w:val="lv-LV"/>
        </w:rPr>
        <w:t>s</w:t>
      </w:r>
      <w:bookmarkEnd w:id="0"/>
      <w:r>
        <w:rPr>
          <w:szCs w:val="22"/>
          <w:lang w:val="lv-LV"/>
        </w:rPr>
        <w:t>,</w:t>
      </w:r>
      <w:r w:rsidRPr="003353D0">
        <w:t xml:space="preserve"> </w:t>
      </w:r>
      <w:r w:rsidRPr="003353D0">
        <w:rPr>
          <w:szCs w:val="22"/>
          <w:lang w:val="lv-LV"/>
        </w:rPr>
        <w:t>piemēram, paklāj</w:t>
      </w:r>
      <w:r>
        <w:rPr>
          <w:szCs w:val="22"/>
          <w:lang w:val="lv-LV"/>
        </w:rPr>
        <w:t>i</w:t>
      </w:r>
      <w:r w:rsidRPr="003353D0">
        <w:rPr>
          <w:szCs w:val="22"/>
          <w:lang w:val="lv-LV"/>
        </w:rPr>
        <w:t xml:space="preserve"> un mīkstās mēbel</w:t>
      </w:r>
      <w:r>
        <w:rPr>
          <w:szCs w:val="22"/>
          <w:lang w:val="lv-LV"/>
        </w:rPr>
        <w:t>e</w:t>
      </w:r>
      <w:r w:rsidRPr="003353D0">
        <w:rPr>
          <w:szCs w:val="22"/>
          <w:lang w:val="lv-LV"/>
        </w:rPr>
        <w:t>s</w:t>
      </w:r>
      <w:r w:rsidRPr="003353D0" w:rsidDel="003353D0">
        <w:rPr>
          <w:szCs w:val="22"/>
          <w:lang w:val="lv-LV"/>
        </w:rPr>
        <w:t xml:space="preserve"> </w:t>
      </w:r>
      <w:r w:rsidRPr="00843406">
        <w:rPr>
          <w:szCs w:val="22"/>
          <w:lang w:val="lv-LV"/>
        </w:rPr>
        <w:t>jāapstrādā ar piemērotu insekticīd</w:t>
      </w:r>
      <w:r>
        <w:rPr>
          <w:szCs w:val="22"/>
          <w:lang w:val="lv-LV"/>
        </w:rPr>
        <w:t>o</w:t>
      </w:r>
      <w:r w:rsidR="00AC0C78" w:rsidRPr="008D01C1">
        <w:rPr>
          <w:szCs w:val="22"/>
          <w:lang w:val="lv-LV"/>
        </w:rPr>
        <w:t xml:space="preserve"> līdzekli un regulāri jātīra ar putekļsūcēju.</w:t>
      </w:r>
      <w:r w:rsidR="00AC0C78" w:rsidRPr="008D01C1">
        <w:rPr>
          <w:szCs w:val="22"/>
        </w:rPr>
        <w:t xml:space="preserve"> </w:t>
      </w:r>
    </w:p>
    <w:p w14:paraId="37A9B8A6" w14:textId="77777777" w:rsidR="00AC0C78" w:rsidRDefault="00AC0C78" w:rsidP="0048201A">
      <w:pPr>
        <w:jc w:val="both"/>
        <w:rPr>
          <w:szCs w:val="22"/>
        </w:rPr>
      </w:pPr>
    </w:p>
    <w:p w14:paraId="051D78D2" w14:textId="046AE887" w:rsidR="006D43B8" w:rsidRDefault="006D43B8" w:rsidP="0048201A">
      <w:pPr>
        <w:jc w:val="both"/>
        <w:rPr>
          <w:szCs w:val="22"/>
          <w:lang w:val="lv-LV"/>
        </w:rPr>
      </w:pPr>
      <w:r w:rsidRPr="008D01C1">
        <w:rPr>
          <w:szCs w:val="22"/>
          <w:lang w:val="lv-LV"/>
        </w:rPr>
        <w:t xml:space="preserve">Lai mazinātu blusu </w:t>
      </w:r>
      <w:r w:rsidR="002A5FE8">
        <w:rPr>
          <w:szCs w:val="22"/>
          <w:lang w:val="lv-LV"/>
        </w:rPr>
        <w:t>invāziju apkārtējā</w:t>
      </w:r>
      <w:r w:rsidRPr="008D01C1">
        <w:rPr>
          <w:szCs w:val="22"/>
          <w:lang w:val="lv-LV"/>
        </w:rPr>
        <w:t xml:space="preserve"> vidē, ar piemērotu pretblusu līdzekli </w:t>
      </w:r>
      <w:r w:rsidR="00561152" w:rsidRPr="00843406">
        <w:rPr>
          <w:szCs w:val="22"/>
          <w:lang w:val="lv-LV"/>
        </w:rPr>
        <w:t xml:space="preserve">jāapstrādā visi </w:t>
      </w:r>
      <w:r w:rsidR="00561152" w:rsidRPr="00587E1F">
        <w:rPr>
          <w:color w:val="000000"/>
          <w:szCs w:val="22"/>
          <w:lang w:val="lv-LV"/>
        </w:rPr>
        <w:t>dzīvnieki</w:t>
      </w:r>
      <w:r w:rsidR="00561152" w:rsidRPr="00A64A81" w:rsidDel="00EA6665">
        <w:rPr>
          <w:color w:val="000000"/>
          <w:szCs w:val="22"/>
          <w:lang w:val="lv-LV"/>
        </w:rPr>
        <w:t xml:space="preserve"> </w:t>
      </w:r>
      <w:r w:rsidR="00561152" w:rsidRPr="00843406">
        <w:rPr>
          <w:szCs w:val="22"/>
          <w:lang w:val="lv-LV"/>
        </w:rPr>
        <w:t>mājsaimniecībā</w:t>
      </w:r>
      <w:r w:rsidRPr="008D01C1">
        <w:rPr>
          <w:szCs w:val="22"/>
          <w:lang w:val="lv-LV"/>
        </w:rPr>
        <w:t>.</w:t>
      </w:r>
    </w:p>
    <w:p w14:paraId="56B0D2D3" w14:textId="77777777" w:rsidR="006D43B8" w:rsidRPr="008D01C1" w:rsidRDefault="006D43B8" w:rsidP="0048201A">
      <w:pPr>
        <w:jc w:val="both"/>
        <w:rPr>
          <w:szCs w:val="22"/>
        </w:rPr>
      </w:pPr>
    </w:p>
    <w:p w14:paraId="5894CDE1" w14:textId="146747D5" w:rsidR="00AC0C78" w:rsidRPr="008D01C1" w:rsidRDefault="00561152" w:rsidP="0048201A">
      <w:pPr>
        <w:jc w:val="both"/>
        <w:rPr>
          <w:szCs w:val="22"/>
        </w:rPr>
      </w:pPr>
      <w:r w:rsidRPr="00D649B3">
        <w:rPr>
          <w:szCs w:val="22"/>
          <w:lang w:val="lv-LV"/>
        </w:rPr>
        <w:t>Š</w:t>
      </w:r>
      <w:r>
        <w:rPr>
          <w:szCs w:val="22"/>
          <w:lang w:val="lv-LV"/>
        </w:rPr>
        <w:t>ī</w:t>
      </w:r>
      <w:r w:rsidRPr="00A64A81">
        <w:rPr>
          <w:szCs w:val="22"/>
          <w:lang w:val="lv-LV"/>
        </w:rPr>
        <w:t xml:space="preserve">s </w:t>
      </w:r>
      <w:r>
        <w:rPr>
          <w:szCs w:val="22"/>
          <w:lang w:val="lv-LV"/>
        </w:rPr>
        <w:t>zāles</w:t>
      </w:r>
      <w:r w:rsidR="00AC0C78" w:rsidRPr="008D01C1">
        <w:rPr>
          <w:szCs w:val="22"/>
          <w:lang w:val="lv-LV"/>
        </w:rPr>
        <w:t xml:space="preserve"> neaizkavē ērču pieķeršanos dzīvniekiem.</w:t>
      </w:r>
      <w:r w:rsidR="00AC0C78" w:rsidRPr="008D01C1">
        <w:rPr>
          <w:szCs w:val="22"/>
        </w:rPr>
        <w:t xml:space="preserve"> </w:t>
      </w:r>
      <w:r w:rsidR="00AC0C78" w:rsidRPr="008D01C1">
        <w:rPr>
          <w:i/>
          <w:szCs w:val="22"/>
          <w:lang w:val="lv-LV"/>
        </w:rPr>
        <w:t>Nelabvēlīgu apstākļu gadījumā nevar pilnībā izslēgt infekcijas slimību pārnesi ar ērcēm.</w:t>
      </w:r>
      <w:r w:rsidR="00AC0C78" w:rsidRPr="008D01C1">
        <w:rPr>
          <w:i/>
          <w:szCs w:val="22"/>
        </w:rPr>
        <w:t xml:space="preserve"> </w:t>
      </w:r>
    </w:p>
    <w:p w14:paraId="5FAB19C9" w14:textId="593B601D" w:rsidR="00AC0C78" w:rsidRPr="008D01C1" w:rsidRDefault="00AC0C78" w:rsidP="0048201A">
      <w:pPr>
        <w:jc w:val="both"/>
        <w:rPr>
          <w:szCs w:val="22"/>
        </w:rPr>
      </w:pPr>
      <w:r w:rsidRPr="008D01C1">
        <w:rPr>
          <w:szCs w:val="22"/>
          <w:lang w:val="lv-LV"/>
        </w:rPr>
        <w:t xml:space="preserve">Ir pierādīta tūlītēja efektivitāte pret </w:t>
      </w:r>
      <w:r w:rsidRPr="008D01C1">
        <w:rPr>
          <w:i/>
          <w:szCs w:val="22"/>
          <w:lang w:val="lv-LV"/>
        </w:rPr>
        <w:t>Ixodes ricinus</w:t>
      </w:r>
      <w:r w:rsidRPr="008D01C1">
        <w:rPr>
          <w:szCs w:val="22"/>
          <w:lang w:val="lv-LV"/>
        </w:rPr>
        <w:t>, kas liecina, ka šīs sugas ērces varētu tikt nonāvētas 48 stundu laikā pēc zāļu lietošanas.</w:t>
      </w:r>
      <w:r w:rsidR="00706128"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 xml:space="preserve">Ja </w:t>
      </w:r>
      <w:r w:rsidR="00561152">
        <w:rPr>
          <w:szCs w:val="22"/>
          <w:lang w:val="lv-LV"/>
        </w:rPr>
        <w:t>zāļu</w:t>
      </w:r>
      <w:r w:rsidRPr="008D01C1">
        <w:rPr>
          <w:szCs w:val="22"/>
          <w:lang w:val="lv-LV"/>
        </w:rPr>
        <w:t xml:space="preserve"> lietošanas laikā dzīvniekam ir </w:t>
      </w:r>
      <w:r w:rsidRPr="008D01C1">
        <w:rPr>
          <w:i/>
          <w:szCs w:val="22"/>
          <w:lang w:val="lv-LV"/>
        </w:rPr>
        <w:t>Dermacentor reticulatus</w:t>
      </w:r>
      <w:r w:rsidRPr="008D01C1">
        <w:rPr>
          <w:szCs w:val="22"/>
          <w:lang w:val="lv-LV"/>
        </w:rPr>
        <w:t xml:space="preserve"> vai </w:t>
      </w:r>
      <w:r w:rsidRPr="008D01C1">
        <w:rPr>
          <w:i/>
          <w:szCs w:val="22"/>
          <w:lang w:val="lv-LV"/>
        </w:rPr>
        <w:t>Rhipicephalus sanguineus</w:t>
      </w:r>
      <w:r w:rsidRPr="008D01C1">
        <w:rPr>
          <w:szCs w:val="22"/>
          <w:lang w:val="lv-LV"/>
        </w:rPr>
        <w:t xml:space="preserve"> sugas ērces, tās var netikt nonāvētas pirmo 48 stundu laikā.</w:t>
      </w:r>
    </w:p>
    <w:p w14:paraId="4209272F" w14:textId="77777777" w:rsidR="00AC0C78" w:rsidRPr="007A1704" w:rsidRDefault="00AC0C78" w:rsidP="0048201A">
      <w:pPr>
        <w:jc w:val="both"/>
        <w:rPr>
          <w:szCs w:val="22"/>
          <w:lang w:val="lv-LV"/>
        </w:rPr>
      </w:pPr>
      <w:r w:rsidRPr="008D01C1">
        <w:rPr>
          <w:szCs w:val="22"/>
          <w:lang w:val="lv-LV"/>
        </w:rPr>
        <w:t>Nonāvētās ērces bieži nokrīt no dzīvnieka</w:t>
      </w:r>
      <w:r w:rsidR="006D43B8">
        <w:rPr>
          <w:szCs w:val="22"/>
          <w:lang w:val="lv-LV"/>
        </w:rPr>
        <w:t>.</w:t>
      </w:r>
      <w:r w:rsidR="006D43B8" w:rsidRPr="008D01C1">
        <w:rPr>
          <w:szCs w:val="22"/>
          <w:lang w:val="lv-LV"/>
        </w:rPr>
        <w:t xml:space="preserve"> </w:t>
      </w:r>
      <w:r w:rsidR="006D43B8">
        <w:rPr>
          <w:szCs w:val="22"/>
          <w:lang w:val="lv-LV"/>
        </w:rPr>
        <w:t>P</w:t>
      </w:r>
      <w:r w:rsidRPr="008D01C1">
        <w:rPr>
          <w:szCs w:val="22"/>
          <w:lang w:val="lv-LV"/>
        </w:rPr>
        <w:t xml:space="preserve">ārējās ērces </w:t>
      </w:r>
      <w:r w:rsidR="006D43B8">
        <w:rPr>
          <w:szCs w:val="22"/>
          <w:lang w:val="lv-LV"/>
        </w:rPr>
        <w:t>uzmanīgi jāizņem</w:t>
      </w:r>
      <w:r w:rsidRPr="008D01C1">
        <w:rPr>
          <w:szCs w:val="22"/>
          <w:lang w:val="lv-LV"/>
        </w:rPr>
        <w:t xml:space="preserve">, </w:t>
      </w:r>
      <w:r w:rsidR="002A5FE8">
        <w:rPr>
          <w:szCs w:val="22"/>
          <w:lang w:val="lv-LV"/>
        </w:rPr>
        <w:t>uzmanoties</w:t>
      </w:r>
      <w:r w:rsidR="006D43B8">
        <w:rPr>
          <w:szCs w:val="22"/>
          <w:lang w:val="lv-LV"/>
        </w:rPr>
        <w:t>, lai to mutes daļa nepaliktu ādā</w:t>
      </w:r>
      <w:r w:rsidRPr="008D01C1">
        <w:rPr>
          <w:szCs w:val="22"/>
          <w:lang w:val="lv-LV"/>
        </w:rPr>
        <w:t>.</w:t>
      </w:r>
    </w:p>
    <w:p w14:paraId="743116E1" w14:textId="77777777" w:rsidR="00AC0C78" w:rsidRPr="007A1704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1A47A9A8" w14:textId="77777777" w:rsidR="00AC0C78" w:rsidRPr="0074774A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74774A">
        <w:rPr>
          <w:b/>
          <w:szCs w:val="22"/>
          <w:lang w:val="lv-LV"/>
        </w:rPr>
        <w:t>4.5</w:t>
      </w:r>
      <w:r w:rsidRPr="0074774A">
        <w:rPr>
          <w:b/>
          <w:szCs w:val="22"/>
          <w:lang w:val="lv-LV"/>
        </w:rPr>
        <w:tab/>
      </w:r>
      <w:r w:rsidRPr="008D01C1">
        <w:rPr>
          <w:b/>
          <w:szCs w:val="22"/>
          <w:lang w:val="lv-LV"/>
        </w:rPr>
        <w:t>Īpaši piesardzības pasākumi lietošanā</w:t>
      </w:r>
    </w:p>
    <w:p w14:paraId="4A444582" w14:textId="77777777" w:rsidR="00AC0C78" w:rsidRPr="0074774A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382B5DE6" w14:textId="55E3190B" w:rsidR="00AC0C78" w:rsidRPr="0074774A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D01C1">
        <w:rPr>
          <w:szCs w:val="22"/>
          <w:u w:val="single"/>
          <w:lang w:val="lv-LV"/>
        </w:rPr>
        <w:t>Īpaši piesardzības pasākumi, lietojot dzīvniekiem</w:t>
      </w:r>
    </w:p>
    <w:p w14:paraId="72BE19F1" w14:textId="77777777" w:rsidR="00AC0C78" w:rsidRPr="0074774A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01F62725" w14:textId="77777777" w:rsidR="00AC0C78" w:rsidRPr="0074774A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D01C1">
        <w:rPr>
          <w:szCs w:val="22"/>
          <w:lang w:val="lv-LV"/>
        </w:rPr>
        <w:t>Tikai ārīgai lietošanai.</w:t>
      </w:r>
      <w:r w:rsidRPr="0074774A">
        <w:rPr>
          <w:szCs w:val="22"/>
          <w:lang w:val="lv-LV"/>
        </w:rPr>
        <w:t xml:space="preserve"> </w:t>
      </w:r>
    </w:p>
    <w:p w14:paraId="5B485BD4" w14:textId="2ADFBA8E" w:rsidR="00AC0C78" w:rsidRPr="0074774A" w:rsidRDefault="00561152" w:rsidP="0048201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43406">
        <w:rPr>
          <w:szCs w:val="22"/>
          <w:lang w:val="lv-LV"/>
        </w:rPr>
        <w:t xml:space="preserve">Pirms </w:t>
      </w:r>
      <w:bookmarkStart w:id="1" w:name="_Hlk45642886"/>
      <w:r>
        <w:rPr>
          <w:szCs w:val="22"/>
          <w:lang w:val="lv-LV"/>
        </w:rPr>
        <w:t>zāļu aplicēšanas</w:t>
      </w:r>
      <w:r w:rsidRPr="00843406">
        <w:rPr>
          <w:szCs w:val="22"/>
          <w:lang w:val="lv-LV"/>
        </w:rPr>
        <w:t xml:space="preserve"> </w:t>
      </w:r>
      <w:bookmarkEnd w:id="1"/>
      <w:r w:rsidRPr="00843406">
        <w:rPr>
          <w:szCs w:val="22"/>
          <w:lang w:val="lv-LV"/>
        </w:rPr>
        <w:t>precīzi</w:t>
      </w:r>
      <w:r w:rsidR="00AC0C78" w:rsidRPr="008D01C1">
        <w:rPr>
          <w:szCs w:val="22"/>
          <w:lang w:val="lv-LV"/>
        </w:rPr>
        <w:t xml:space="preserve"> jānosaka dzīvnieka svars.</w:t>
      </w:r>
    </w:p>
    <w:p w14:paraId="01F7C65D" w14:textId="6404A15E" w:rsidR="00AC0C78" w:rsidRPr="0074774A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  <w:r w:rsidRPr="008D01C1">
        <w:rPr>
          <w:szCs w:val="22"/>
          <w:lang w:val="lv-LV"/>
        </w:rPr>
        <w:t xml:space="preserve">Tā </w:t>
      </w:r>
      <w:r w:rsidR="00561152" w:rsidRPr="00843406">
        <w:rPr>
          <w:szCs w:val="22"/>
          <w:lang w:val="lv-LV"/>
        </w:rPr>
        <w:t>kā nav pieejami drošum</w:t>
      </w:r>
      <w:r w:rsidR="00561152">
        <w:rPr>
          <w:szCs w:val="22"/>
          <w:lang w:val="lv-LV"/>
        </w:rPr>
        <w:t>a pētījumi</w:t>
      </w:r>
      <w:r w:rsidRPr="008D01C1">
        <w:rPr>
          <w:szCs w:val="22"/>
          <w:lang w:val="lv-LV"/>
        </w:rPr>
        <w:t>, šīs zāles nedrīkst lietot kucēniem līdz 10 nedēļu vecumam un/vai kucēniem, kuru svars ir mazāks par 2 kg.</w:t>
      </w:r>
    </w:p>
    <w:p w14:paraId="198188F2" w14:textId="20AF6D70" w:rsidR="00AC0C78" w:rsidRPr="0074774A" w:rsidRDefault="00AC0C78" w:rsidP="0048201A">
      <w:pPr>
        <w:jc w:val="both"/>
        <w:rPr>
          <w:szCs w:val="22"/>
          <w:lang w:val="lv-LV"/>
        </w:rPr>
      </w:pPr>
      <w:r w:rsidRPr="008D01C1">
        <w:rPr>
          <w:szCs w:val="22"/>
          <w:lang w:val="lv-LV"/>
        </w:rPr>
        <w:t xml:space="preserve">Jāuzmanās, lai pipetes saturs nenonāktu saskarē ar </w:t>
      </w:r>
      <w:r w:rsidR="002A5FE8">
        <w:rPr>
          <w:szCs w:val="22"/>
          <w:lang w:val="lv-LV"/>
        </w:rPr>
        <w:t xml:space="preserve">ārstētā </w:t>
      </w:r>
      <w:r w:rsidRPr="008D01C1">
        <w:rPr>
          <w:szCs w:val="22"/>
          <w:lang w:val="lv-LV"/>
        </w:rPr>
        <w:t>suņa, acīm vai muti.</w:t>
      </w:r>
      <w:r w:rsidRPr="0074774A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 xml:space="preserve">It īpaši jāuzmanās, lai zāles netiktu uzņemtas iekšķīgi, apstrādātajam vai citam dzīvniekam laizot ar zālēm </w:t>
      </w:r>
      <w:r w:rsidR="00561152">
        <w:rPr>
          <w:szCs w:val="22"/>
          <w:lang w:val="lv-LV"/>
        </w:rPr>
        <w:t>aplicēto</w:t>
      </w:r>
      <w:r w:rsidRPr="008D01C1">
        <w:rPr>
          <w:szCs w:val="22"/>
          <w:lang w:val="lv-LV"/>
        </w:rPr>
        <w:t xml:space="preserve"> vietu.</w:t>
      </w:r>
    </w:p>
    <w:p w14:paraId="196F775F" w14:textId="77777777" w:rsidR="00AC0C78" w:rsidRPr="0074774A" w:rsidRDefault="00AC0C78" w:rsidP="0048201A">
      <w:pPr>
        <w:spacing w:line="240" w:lineRule="auto"/>
        <w:jc w:val="both"/>
        <w:rPr>
          <w:szCs w:val="22"/>
          <w:lang w:val="lv-LV"/>
        </w:rPr>
      </w:pPr>
      <w:r w:rsidRPr="008D01C1">
        <w:rPr>
          <w:szCs w:val="22"/>
          <w:lang w:val="lv-LV"/>
        </w:rPr>
        <w:t>Šīs zāles nedrīkst lietot uz brūcēm vai bojātas ādas.</w:t>
      </w:r>
    </w:p>
    <w:p w14:paraId="64433E9E" w14:textId="624B2076" w:rsidR="00AC0C78" w:rsidRPr="0074774A" w:rsidRDefault="00561152" w:rsidP="00EF0F41">
      <w:pPr>
        <w:pStyle w:val="BodyTextIndent2"/>
        <w:tabs>
          <w:tab w:val="left" w:pos="540"/>
        </w:tabs>
        <w:spacing w:line="240" w:lineRule="auto"/>
        <w:ind w:left="0" w:firstLine="0"/>
        <w:rPr>
          <w:b w:val="0"/>
          <w:szCs w:val="22"/>
          <w:lang w:val="lv-LV"/>
        </w:rPr>
      </w:pPr>
      <w:r w:rsidRPr="00843406">
        <w:rPr>
          <w:b w:val="0"/>
          <w:szCs w:val="22"/>
          <w:lang w:val="lv-LV"/>
        </w:rPr>
        <w:t>Tā kā nav</w:t>
      </w:r>
      <w:r>
        <w:rPr>
          <w:b w:val="0"/>
          <w:szCs w:val="22"/>
          <w:lang w:val="lv-LV"/>
        </w:rPr>
        <w:t xml:space="preserve"> veikti </w:t>
      </w:r>
      <w:r w:rsidRPr="00843406">
        <w:rPr>
          <w:b w:val="0"/>
          <w:szCs w:val="22"/>
          <w:lang w:val="lv-LV"/>
        </w:rPr>
        <w:t>papildu drošum</w:t>
      </w:r>
      <w:r>
        <w:rPr>
          <w:b w:val="0"/>
          <w:szCs w:val="22"/>
          <w:lang w:val="lv-LV"/>
        </w:rPr>
        <w:t>a pētījumi</w:t>
      </w:r>
      <w:r w:rsidRPr="00843406">
        <w:rPr>
          <w:b w:val="0"/>
          <w:szCs w:val="22"/>
          <w:lang w:val="lv-LV"/>
        </w:rPr>
        <w:t xml:space="preserve">, </w:t>
      </w:r>
      <w:r>
        <w:rPr>
          <w:b w:val="0"/>
          <w:szCs w:val="22"/>
          <w:lang w:val="lv-LV"/>
        </w:rPr>
        <w:t xml:space="preserve">zāles </w:t>
      </w:r>
      <w:r w:rsidRPr="00843406">
        <w:rPr>
          <w:b w:val="0"/>
          <w:szCs w:val="22"/>
          <w:lang w:val="lv-LV"/>
        </w:rPr>
        <w:t>atkārtot</w:t>
      </w:r>
      <w:r>
        <w:rPr>
          <w:b w:val="0"/>
          <w:szCs w:val="22"/>
          <w:lang w:val="lv-LV"/>
        </w:rPr>
        <w:t xml:space="preserve">i aplicēt </w:t>
      </w:r>
      <w:r w:rsidRPr="00843406">
        <w:rPr>
          <w:b w:val="0"/>
          <w:szCs w:val="22"/>
          <w:lang w:val="lv-LV"/>
        </w:rPr>
        <w:t>ar intervālu</w:t>
      </w:r>
      <w:r>
        <w:rPr>
          <w:b w:val="0"/>
          <w:szCs w:val="22"/>
          <w:lang w:val="lv-LV"/>
        </w:rPr>
        <w:t>, ne mazāku par</w:t>
      </w:r>
      <w:r w:rsidRPr="00843406">
        <w:rPr>
          <w:b w:val="0"/>
          <w:szCs w:val="22"/>
          <w:lang w:val="lv-LV"/>
        </w:rPr>
        <w:t xml:space="preserve"> 4 nedēļ</w:t>
      </w:r>
      <w:r>
        <w:rPr>
          <w:b w:val="0"/>
          <w:szCs w:val="22"/>
          <w:lang w:val="lv-LV"/>
        </w:rPr>
        <w:t>ām</w:t>
      </w:r>
      <w:r w:rsidR="00AC0C78" w:rsidRPr="008D01C1">
        <w:rPr>
          <w:b w:val="0"/>
          <w:szCs w:val="22"/>
          <w:lang w:val="lv-LV"/>
        </w:rPr>
        <w:t>.</w:t>
      </w:r>
    </w:p>
    <w:p w14:paraId="02C61BB4" w14:textId="77777777" w:rsidR="00AC0C78" w:rsidRPr="0074774A" w:rsidRDefault="00AC0C78" w:rsidP="00EF0F41">
      <w:pPr>
        <w:pStyle w:val="BodyTextIndent2"/>
        <w:tabs>
          <w:tab w:val="left" w:pos="540"/>
        </w:tabs>
        <w:spacing w:line="240" w:lineRule="auto"/>
        <w:ind w:left="0" w:firstLine="0"/>
        <w:rPr>
          <w:b w:val="0"/>
          <w:szCs w:val="22"/>
          <w:lang w:val="lv-LV"/>
        </w:rPr>
      </w:pPr>
    </w:p>
    <w:p w14:paraId="052175E0" w14:textId="77777777" w:rsidR="00AC0C78" w:rsidRPr="0074774A" w:rsidRDefault="00AC0C78" w:rsidP="00EF0F41">
      <w:pPr>
        <w:jc w:val="both"/>
        <w:rPr>
          <w:szCs w:val="22"/>
          <w:lang w:val="lv-LV"/>
        </w:rPr>
      </w:pPr>
      <w:r w:rsidRPr="008D01C1">
        <w:rPr>
          <w:szCs w:val="22"/>
          <w:lang w:val="lv-LV"/>
        </w:rPr>
        <w:t>Nav veikti pētījumi par šo zāļu lietošanu slimiem un novājinātiem suņiem.</w:t>
      </w:r>
    </w:p>
    <w:p w14:paraId="6FB3CFAB" w14:textId="77777777" w:rsidR="00AC0C78" w:rsidRPr="0074774A" w:rsidRDefault="00AC0C78" w:rsidP="0048201A">
      <w:pPr>
        <w:jc w:val="both"/>
        <w:rPr>
          <w:szCs w:val="22"/>
          <w:lang w:val="lv-LV"/>
        </w:rPr>
      </w:pPr>
    </w:p>
    <w:p w14:paraId="6032B3EB" w14:textId="036FBDE2" w:rsidR="00AC0C78" w:rsidRPr="0074774A" w:rsidRDefault="00561152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lv-LV"/>
        </w:rPr>
      </w:pPr>
      <w:r>
        <w:rPr>
          <w:szCs w:val="22"/>
          <w:u w:val="single"/>
          <w:lang w:val="lv-LV"/>
        </w:rPr>
        <w:t>Īpaši p</w:t>
      </w:r>
      <w:r w:rsidR="00AC0C78" w:rsidRPr="008D01C1">
        <w:rPr>
          <w:szCs w:val="22"/>
          <w:u w:val="single"/>
          <w:lang w:val="lv-LV"/>
        </w:rPr>
        <w:t>iesardzības pasākumi, kas jāievēro personai, kura lieto veterinārās zāles dzīvnieku ārstēšanai</w:t>
      </w:r>
    </w:p>
    <w:p w14:paraId="142D2327" w14:textId="77777777" w:rsidR="00AC0C78" w:rsidRPr="0074774A" w:rsidRDefault="00AC0C78" w:rsidP="0048201A">
      <w:pPr>
        <w:pStyle w:val="BodyTextIndent2"/>
        <w:tabs>
          <w:tab w:val="left" w:pos="540"/>
        </w:tabs>
        <w:ind w:left="0" w:firstLine="0"/>
        <w:rPr>
          <w:b w:val="0"/>
          <w:szCs w:val="22"/>
          <w:highlight w:val="yellow"/>
          <w:lang w:val="lv-LV"/>
        </w:rPr>
      </w:pPr>
    </w:p>
    <w:p w14:paraId="22AA4E69" w14:textId="77777777" w:rsidR="00AC0C78" w:rsidRPr="008D01C1" w:rsidRDefault="00AC0C78" w:rsidP="0048201A">
      <w:pPr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Šīs zāles var izraisīt neirotoksicitāti.</w:t>
      </w:r>
    </w:p>
    <w:p w14:paraId="7A8ED14E" w14:textId="77777777" w:rsidR="00AC0C78" w:rsidRPr="008D01C1" w:rsidRDefault="00AC0C78" w:rsidP="0048201A">
      <w:pPr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Šīs zāles var būt kaitīgas norijot.</w:t>
      </w:r>
    </w:p>
    <w:p w14:paraId="5400A242" w14:textId="77777777" w:rsidR="00561152" w:rsidRPr="00215FB0" w:rsidRDefault="00561152" w:rsidP="00561152">
      <w:pPr>
        <w:tabs>
          <w:tab w:val="left" w:leader="dot" w:pos="8505"/>
        </w:tabs>
        <w:rPr>
          <w:bCs/>
          <w:iCs/>
          <w:color w:val="000000"/>
          <w:szCs w:val="22"/>
        </w:rPr>
      </w:pPr>
      <w:r>
        <w:rPr>
          <w:color w:val="000000"/>
          <w:szCs w:val="22"/>
          <w:lang w:val="lv"/>
        </w:rPr>
        <w:t>Izvairīties</w:t>
      </w:r>
      <w:r w:rsidRPr="00215FB0">
        <w:rPr>
          <w:color w:val="000000"/>
          <w:szCs w:val="22"/>
          <w:lang w:val="lv"/>
        </w:rPr>
        <w:t xml:space="preserve"> no norīšanas, </w:t>
      </w:r>
      <w:bookmarkStart w:id="2" w:name="_Hlk45643260"/>
      <w:r>
        <w:rPr>
          <w:color w:val="000000"/>
          <w:szCs w:val="22"/>
          <w:lang w:val="lv"/>
        </w:rPr>
        <w:t xml:space="preserve">tai skaitā zāļu nokļūšanas no </w:t>
      </w:r>
      <w:r w:rsidRPr="00215FB0">
        <w:rPr>
          <w:color w:val="000000"/>
          <w:szCs w:val="22"/>
          <w:lang w:val="lv"/>
        </w:rPr>
        <w:t>rok</w:t>
      </w:r>
      <w:r>
        <w:rPr>
          <w:color w:val="000000"/>
          <w:szCs w:val="22"/>
          <w:lang w:val="lv"/>
        </w:rPr>
        <w:t xml:space="preserve">ām </w:t>
      </w:r>
      <w:r w:rsidRPr="00215FB0">
        <w:rPr>
          <w:color w:val="000000"/>
          <w:szCs w:val="22"/>
          <w:lang w:val="lv"/>
        </w:rPr>
        <w:t>mut</w:t>
      </w:r>
      <w:r>
        <w:rPr>
          <w:color w:val="000000"/>
          <w:szCs w:val="22"/>
          <w:lang w:val="lv"/>
        </w:rPr>
        <w:t>ē</w:t>
      </w:r>
      <w:r w:rsidRPr="00215FB0">
        <w:rPr>
          <w:color w:val="000000"/>
          <w:szCs w:val="22"/>
          <w:lang w:val="lv"/>
        </w:rPr>
        <w:t xml:space="preserve">. </w:t>
      </w:r>
    </w:p>
    <w:bookmarkEnd w:id="2"/>
    <w:p w14:paraId="375DA0CF" w14:textId="77777777" w:rsidR="00561152" w:rsidRPr="00215FB0" w:rsidRDefault="00561152" w:rsidP="00561152">
      <w:pPr>
        <w:tabs>
          <w:tab w:val="left" w:leader="dot" w:pos="8505"/>
        </w:tabs>
        <w:rPr>
          <w:bCs/>
          <w:iCs/>
          <w:color w:val="000000"/>
          <w:szCs w:val="22"/>
        </w:rPr>
      </w:pPr>
      <w:r w:rsidRPr="00215FB0">
        <w:rPr>
          <w:color w:val="000000"/>
          <w:szCs w:val="22"/>
          <w:lang w:val="lv"/>
        </w:rPr>
        <w:t xml:space="preserve">Lietošanas laikā nedrīkst smēķēt, dzert vai ēst. </w:t>
      </w:r>
    </w:p>
    <w:p w14:paraId="1DEEEF15" w14:textId="77777777" w:rsidR="00561152" w:rsidRDefault="00561152" w:rsidP="00561152">
      <w:pPr>
        <w:tabs>
          <w:tab w:val="left" w:leader="dot" w:pos="8505"/>
        </w:tabs>
        <w:rPr>
          <w:color w:val="000000"/>
          <w:szCs w:val="22"/>
          <w:lang w:val="lv"/>
        </w:rPr>
      </w:pPr>
      <w:r w:rsidRPr="00215FB0">
        <w:rPr>
          <w:color w:val="000000"/>
          <w:szCs w:val="22"/>
          <w:lang w:val="lv"/>
        </w:rPr>
        <w:t>Ja notikusi nejauša norīšana, nekavējoties meklēt medicīnisko palīdzību un uzrādīt lietošanas</w:t>
      </w:r>
      <w:r>
        <w:rPr>
          <w:color w:val="000000"/>
          <w:szCs w:val="22"/>
          <w:lang w:val="lv"/>
        </w:rPr>
        <w:t xml:space="preserve"> </w:t>
      </w:r>
      <w:r>
        <w:rPr>
          <w:color w:val="000000"/>
          <w:szCs w:val="22"/>
          <w:lang w:val="lv-LV"/>
        </w:rPr>
        <w:t>instrukciju</w:t>
      </w:r>
      <w:r w:rsidRPr="00D649B3">
        <w:rPr>
          <w:color w:val="000000"/>
          <w:szCs w:val="22"/>
          <w:lang w:val="lv-LV"/>
        </w:rPr>
        <w:t xml:space="preserve"> </w:t>
      </w:r>
      <w:r w:rsidRPr="00215FB0">
        <w:rPr>
          <w:color w:val="000000"/>
          <w:szCs w:val="22"/>
          <w:lang w:val="lv"/>
        </w:rPr>
        <w:t xml:space="preserve">vai iepakojuma marķējumu ārstam. </w:t>
      </w:r>
    </w:p>
    <w:p w14:paraId="7256AFD9" w14:textId="77777777" w:rsidR="00561152" w:rsidRPr="00B24E0A" w:rsidRDefault="00561152" w:rsidP="00561152">
      <w:pPr>
        <w:tabs>
          <w:tab w:val="left" w:leader="dot" w:pos="8505"/>
        </w:tabs>
        <w:rPr>
          <w:bCs/>
          <w:iCs/>
          <w:color w:val="000000"/>
          <w:szCs w:val="22"/>
          <w:lang w:val="lv"/>
        </w:rPr>
      </w:pPr>
      <w:r w:rsidRPr="00BC0D46">
        <w:rPr>
          <w:lang w:val="lv-LV"/>
        </w:rPr>
        <w:t xml:space="preserve">Šīs zāles </w:t>
      </w:r>
      <w:r w:rsidRPr="00B24E0A">
        <w:rPr>
          <w:szCs w:val="22"/>
          <w:lang w:val="lv"/>
        </w:rPr>
        <w:t>var izraisīt acu un gļotādas kairinājumu.</w:t>
      </w:r>
    </w:p>
    <w:p w14:paraId="02A51305" w14:textId="77777777" w:rsidR="00561152" w:rsidRPr="00215FB0" w:rsidRDefault="00561152" w:rsidP="00561152">
      <w:pPr>
        <w:tabs>
          <w:tab w:val="left" w:leader="dot" w:pos="8505"/>
        </w:tabs>
        <w:rPr>
          <w:bCs/>
          <w:iCs/>
          <w:color w:val="000000"/>
          <w:szCs w:val="22"/>
        </w:rPr>
      </w:pPr>
      <w:r w:rsidRPr="00215FB0">
        <w:rPr>
          <w:color w:val="000000"/>
          <w:szCs w:val="22"/>
          <w:lang w:val="lv"/>
        </w:rPr>
        <w:lastRenderedPageBreak/>
        <w:t>Izvairieties no saskares ar ādu, acīm un muti,</w:t>
      </w:r>
      <w:r w:rsidRPr="00933D47">
        <w:rPr>
          <w:color w:val="000000"/>
          <w:szCs w:val="22"/>
          <w:lang w:val="lv"/>
        </w:rPr>
        <w:t xml:space="preserve"> </w:t>
      </w:r>
      <w:bookmarkStart w:id="3" w:name="_Hlk45643345"/>
      <w:r w:rsidRPr="00933D47">
        <w:rPr>
          <w:color w:val="000000"/>
          <w:szCs w:val="22"/>
          <w:lang w:val="lv"/>
        </w:rPr>
        <w:t xml:space="preserve">tai skaitā </w:t>
      </w:r>
      <w:r>
        <w:rPr>
          <w:color w:val="000000"/>
          <w:szCs w:val="22"/>
          <w:lang w:val="lv"/>
        </w:rPr>
        <w:t xml:space="preserve">zāļu iekļūšanas no </w:t>
      </w:r>
      <w:r w:rsidRPr="00933D47">
        <w:rPr>
          <w:color w:val="000000"/>
          <w:szCs w:val="22"/>
          <w:lang w:val="lv"/>
        </w:rPr>
        <w:t>rok</w:t>
      </w:r>
      <w:r>
        <w:rPr>
          <w:color w:val="000000"/>
          <w:szCs w:val="22"/>
          <w:lang w:val="lv"/>
        </w:rPr>
        <w:t>ām acīs</w:t>
      </w:r>
      <w:r w:rsidRPr="00215FB0">
        <w:rPr>
          <w:color w:val="000000"/>
          <w:szCs w:val="22"/>
          <w:lang w:val="lv"/>
        </w:rPr>
        <w:t xml:space="preserve">. </w:t>
      </w:r>
    </w:p>
    <w:bookmarkEnd w:id="3"/>
    <w:p w14:paraId="11D74B9C" w14:textId="77777777" w:rsidR="00561152" w:rsidRPr="00B24E0A" w:rsidRDefault="00561152" w:rsidP="00561152">
      <w:pPr>
        <w:tabs>
          <w:tab w:val="left" w:leader="dot" w:pos="8505"/>
        </w:tabs>
        <w:rPr>
          <w:bCs/>
          <w:iCs/>
          <w:color w:val="000000"/>
          <w:szCs w:val="22"/>
          <w:lang w:val="lv"/>
        </w:rPr>
      </w:pPr>
      <w:r w:rsidRPr="00215FB0">
        <w:rPr>
          <w:color w:val="000000"/>
          <w:szCs w:val="22"/>
          <w:lang w:val="lv"/>
        </w:rPr>
        <w:t xml:space="preserve">Ja </w:t>
      </w:r>
      <w:r>
        <w:rPr>
          <w:color w:val="000000"/>
          <w:szCs w:val="22"/>
          <w:lang w:val="lv-LV"/>
        </w:rPr>
        <w:t>notikusi</w:t>
      </w:r>
      <w:r w:rsidRPr="00D649B3">
        <w:rPr>
          <w:color w:val="000000"/>
          <w:szCs w:val="22"/>
          <w:lang w:val="lv-LV"/>
        </w:rPr>
        <w:t xml:space="preserve"> nejauš</w:t>
      </w:r>
      <w:r>
        <w:rPr>
          <w:color w:val="000000"/>
          <w:szCs w:val="22"/>
          <w:lang w:val="lv-LV"/>
        </w:rPr>
        <w:t>a</w:t>
      </w:r>
      <w:r w:rsidRPr="00D649B3">
        <w:rPr>
          <w:color w:val="000000"/>
          <w:szCs w:val="22"/>
          <w:lang w:val="lv-LV"/>
        </w:rPr>
        <w:t xml:space="preserve"> saskar</w:t>
      </w:r>
      <w:r>
        <w:rPr>
          <w:color w:val="000000"/>
          <w:szCs w:val="22"/>
          <w:lang w:val="lv-LV"/>
        </w:rPr>
        <w:t>e</w:t>
      </w:r>
      <w:r w:rsidRPr="00D649B3">
        <w:rPr>
          <w:color w:val="000000"/>
          <w:szCs w:val="22"/>
          <w:lang w:val="lv-LV"/>
        </w:rPr>
        <w:t xml:space="preserve"> </w:t>
      </w:r>
      <w:r w:rsidRPr="00215FB0">
        <w:rPr>
          <w:color w:val="000000"/>
          <w:szCs w:val="22"/>
          <w:lang w:val="lv"/>
        </w:rPr>
        <w:t xml:space="preserve">ar ādu vai acīm, nekavējoties rūpīgi skalot ar ūdeni. Ja ādas vai acu kairinājums saglabājas, nekavējoties meklēt medicīnisko palīdzību un uzrādīt lietošanas instrukciju vai iepakojuma marķējumu ārstam. </w:t>
      </w:r>
    </w:p>
    <w:p w14:paraId="0B7C5A46" w14:textId="77777777" w:rsidR="00561152" w:rsidRPr="00B24E0A" w:rsidRDefault="00561152" w:rsidP="00561152">
      <w:pPr>
        <w:tabs>
          <w:tab w:val="left" w:leader="dot" w:pos="8505"/>
        </w:tabs>
        <w:rPr>
          <w:bCs/>
          <w:iCs/>
          <w:color w:val="000000"/>
          <w:szCs w:val="22"/>
          <w:lang w:val="lv"/>
        </w:rPr>
      </w:pPr>
      <w:r w:rsidRPr="00215FB0">
        <w:rPr>
          <w:color w:val="000000"/>
          <w:szCs w:val="22"/>
          <w:lang w:val="lv"/>
        </w:rPr>
        <w:t xml:space="preserve">Pēc lietošanas mazgāt rokas. </w:t>
      </w:r>
    </w:p>
    <w:p w14:paraId="3C9FD532" w14:textId="77777777" w:rsidR="00561152" w:rsidRPr="00B24E0A" w:rsidRDefault="00561152" w:rsidP="00561152">
      <w:pPr>
        <w:tabs>
          <w:tab w:val="left" w:leader="dot" w:pos="8505"/>
        </w:tabs>
        <w:rPr>
          <w:bCs/>
          <w:iCs/>
          <w:color w:val="000000"/>
          <w:szCs w:val="22"/>
          <w:lang w:val="lv"/>
        </w:rPr>
      </w:pPr>
      <w:bookmarkStart w:id="4" w:name="_Hlk45643375"/>
      <w:r w:rsidRPr="00EC048F">
        <w:rPr>
          <w:color w:val="000000"/>
          <w:szCs w:val="22"/>
          <w:lang w:val="lv"/>
        </w:rPr>
        <w:t>Ārstētos dzīvniekus nedrīkst glaudīt</w:t>
      </w:r>
      <w:bookmarkEnd w:id="4"/>
      <w:r w:rsidRPr="00215FB0">
        <w:rPr>
          <w:color w:val="000000"/>
          <w:szCs w:val="22"/>
          <w:lang w:val="lv"/>
        </w:rPr>
        <w:t xml:space="preserve">, </w:t>
      </w:r>
      <w:bookmarkStart w:id="5" w:name="_Hlk45180449"/>
      <w:r>
        <w:rPr>
          <w:color w:val="000000"/>
          <w:szCs w:val="22"/>
          <w:lang w:val="lv"/>
        </w:rPr>
        <w:t>līdz zāļu</w:t>
      </w:r>
      <w:r w:rsidRPr="00215FB0">
        <w:rPr>
          <w:color w:val="000000"/>
          <w:szCs w:val="22"/>
          <w:lang w:val="lv"/>
        </w:rPr>
        <w:t xml:space="preserve"> </w:t>
      </w:r>
      <w:r>
        <w:rPr>
          <w:color w:val="000000"/>
          <w:szCs w:val="22"/>
          <w:lang w:val="lv"/>
        </w:rPr>
        <w:t>aplicēšanas</w:t>
      </w:r>
      <w:r w:rsidRPr="00215FB0">
        <w:rPr>
          <w:color w:val="000000"/>
          <w:szCs w:val="22"/>
          <w:lang w:val="lv"/>
        </w:rPr>
        <w:t xml:space="preserve"> </w:t>
      </w:r>
      <w:bookmarkEnd w:id="5"/>
      <w:r w:rsidRPr="00215FB0">
        <w:rPr>
          <w:color w:val="000000"/>
          <w:szCs w:val="22"/>
          <w:lang w:val="lv"/>
        </w:rPr>
        <w:t xml:space="preserve">vieta nav nožuvusi, un bērni nedrīkst rotaļāties ar dzīvniekiem, kuriem lietotas šīs veterinārās zāles, </w:t>
      </w:r>
      <w:r>
        <w:rPr>
          <w:color w:val="000000"/>
          <w:szCs w:val="22"/>
          <w:lang w:val="lv"/>
        </w:rPr>
        <w:t>līdz zāļu aplicēšanas</w:t>
      </w:r>
      <w:r w:rsidRPr="00215FB0">
        <w:rPr>
          <w:color w:val="000000"/>
          <w:szCs w:val="22"/>
          <w:lang w:val="lv"/>
        </w:rPr>
        <w:t xml:space="preserve"> vieta nav nožuvusi. Tāpēc šīs veterinārās zāles dzīvniekiem ieteicams lietot nevis dienas laikā, bet pievakarē, un dzīvniekiem, kuriem nesen lietotas šīs veterinārās zāles, nedrīkst ļaut gulēt </w:t>
      </w:r>
      <w:r>
        <w:rPr>
          <w:color w:val="000000"/>
          <w:szCs w:val="22"/>
          <w:lang w:val="lv"/>
        </w:rPr>
        <w:t>pie</w:t>
      </w:r>
      <w:r w:rsidRPr="00215FB0">
        <w:rPr>
          <w:color w:val="000000"/>
          <w:szCs w:val="22"/>
          <w:lang w:val="lv"/>
        </w:rPr>
        <w:t xml:space="preserve"> saimniekiem, it īpaši bērniem.</w:t>
      </w:r>
    </w:p>
    <w:p w14:paraId="79C9CF3B" w14:textId="25D91CBA" w:rsidR="00AC0C78" w:rsidRPr="008D01C1" w:rsidRDefault="00561152" w:rsidP="0048201A">
      <w:pPr>
        <w:spacing w:line="240" w:lineRule="auto"/>
        <w:jc w:val="both"/>
        <w:rPr>
          <w:szCs w:val="22"/>
          <w:lang w:val="fr-FR"/>
        </w:rPr>
      </w:pPr>
      <w:r w:rsidRPr="00215FB0">
        <w:rPr>
          <w:color w:val="000000"/>
          <w:szCs w:val="22"/>
          <w:lang w:val="lv"/>
        </w:rPr>
        <w:t>Uzglabāt pipetes oriģinālajā iepakojumā līdz lietošana</w:t>
      </w:r>
      <w:r>
        <w:rPr>
          <w:color w:val="000000"/>
          <w:szCs w:val="22"/>
          <w:lang w:val="lv"/>
        </w:rPr>
        <w:t>s reizei</w:t>
      </w:r>
      <w:r w:rsidRPr="00215FB0">
        <w:rPr>
          <w:color w:val="000000"/>
          <w:szCs w:val="22"/>
          <w:lang w:val="lv"/>
        </w:rPr>
        <w:t xml:space="preserve">, un tūlīt pēc </w:t>
      </w:r>
      <w:r>
        <w:rPr>
          <w:color w:val="000000"/>
          <w:szCs w:val="22"/>
          <w:lang w:val="lv-LV"/>
        </w:rPr>
        <w:t>lietošanas iznīcināt</w:t>
      </w:r>
      <w:r w:rsidRPr="00215FB0">
        <w:rPr>
          <w:color w:val="000000"/>
          <w:szCs w:val="22"/>
          <w:lang w:val="lv"/>
        </w:rPr>
        <w:t>.</w:t>
      </w:r>
    </w:p>
    <w:p w14:paraId="4E1FF6EE" w14:textId="77777777" w:rsidR="00AC0C78" w:rsidRPr="008D01C1" w:rsidRDefault="00AC0C78" w:rsidP="0048201A">
      <w:pPr>
        <w:spacing w:line="240" w:lineRule="auto"/>
        <w:jc w:val="both"/>
        <w:rPr>
          <w:szCs w:val="22"/>
          <w:lang w:val="fr-FR"/>
        </w:rPr>
      </w:pPr>
    </w:p>
    <w:p w14:paraId="3B50E2E6" w14:textId="152FCA97" w:rsidR="00AC0C78" w:rsidRDefault="00AC0C78" w:rsidP="0048201A">
      <w:pPr>
        <w:spacing w:line="240" w:lineRule="auto"/>
        <w:jc w:val="both"/>
        <w:rPr>
          <w:szCs w:val="22"/>
          <w:u w:val="single"/>
          <w:lang w:val="lv-LV"/>
        </w:rPr>
      </w:pPr>
      <w:r w:rsidRPr="008D01C1">
        <w:rPr>
          <w:szCs w:val="22"/>
          <w:u w:val="single"/>
          <w:lang w:val="lv-LV"/>
        </w:rPr>
        <w:t>Citi piesardzības pasākumi</w:t>
      </w:r>
    </w:p>
    <w:p w14:paraId="291D749D" w14:textId="77777777" w:rsidR="00AE4054" w:rsidRPr="008D01C1" w:rsidRDefault="00AE4054" w:rsidP="0048201A">
      <w:pPr>
        <w:spacing w:line="240" w:lineRule="auto"/>
        <w:jc w:val="both"/>
        <w:rPr>
          <w:szCs w:val="22"/>
          <w:u w:val="single"/>
        </w:rPr>
      </w:pPr>
    </w:p>
    <w:p w14:paraId="6A0F6374" w14:textId="657BAD1D" w:rsidR="00AC0C78" w:rsidRPr="008D01C1" w:rsidRDefault="00AC0C78" w:rsidP="0048201A">
      <w:pPr>
        <w:jc w:val="both"/>
        <w:rPr>
          <w:b/>
          <w:i/>
          <w:szCs w:val="22"/>
        </w:rPr>
      </w:pPr>
      <w:r w:rsidRPr="008D01C1">
        <w:rPr>
          <w:szCs w:val="22"/>
          <w:lang w:val="lv-LV"/>
        </w:rPr>
        <w:t xml:space="preserve">Fipronils un piriproksifēns var negatīvi ietekmēt </w:t>
      </w:r>
      <w:r w:rsidR="00561152" w:rsidRPr="00843406">
        <w:rPr>
          <w:szCs w:val="22"/>
          <w:lang w:val="lv-LV"/>
        </w:rPr>
        <w:t>ūden</w:t>
      </w:r>
      <w:r w:rsidR="00561152">
        <w:rPr>
          <w:szCs w:val="22"/>
          <w:lang w:val="lv-LV"/>
        </w:rPr>
        <w:t>ī dzīvojošos</w:t>
      </w:r>
      <w:r w:rsidRPr="008D01C1">
        <w:rPr>
          <w:szCs w:val="22"/>
          <w:lang w:val="lv-LV"/>
        </w:rPr>
        <w:t xml:space="preserve"> organismus.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>Suņiem 48 stundas pēc apstrādes nedrīkst ļaut atrasties tekošā ūdenī un upēs (skatīt arī 6.6. apakšpunktu).</w:t>
      </w:r>
    </w:p>
    <w:p w14:paraId="6B6750B9" w14:textId="10299610" w:rsidR="00AC0C78" w:rsidRPr="008D01C1" w:rsidRDefault="00AC0C78" w:rsidP="0048201A">
      <w:pPr>
        <w:jc w:val="both"/>
        <w:rPr>
          <w:szCs w:val="22"/>
        </w:rPr>
      </w:pPr>
      <w:r w:rsidRPr="008D01C1">
        <w:rPr>
          <w:szCs w:val="22"/>
          <w:lang w:val="lv-LV"/>
        </w:rPr>
        <w:t xml:space="preserve">Šīs zāles </w:t>
      </w:r>
      <w:r w:rsidR="00561152" w:rsidRPr="00843406">
        <w:rPr>
          <w:szCs w:val="22"/>
          <w:lang w:val="lv-LV"/>
        </w:rPr>
        <w:t xml:space="preserve">var </w:t>
      </w:r>
      <w:r w:rsidR="00561152">
        <w:rPr>
          <w:szCs w:val="22"/>
          <w:lang w:val="lv-LV"/>
        </w:rPr>
        <w:t>bojāt</w:t>
      </w:r>
      <w:r w:rsidR="00561152" w:rsidRPr="00843406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>krāsotas, lakotas vai citas mājsaimniecības virsmas vai mēbeles.</w:t>
      </w:r>
      <w:r w:rsidRPr="008D01C1">
        <w:rPr>
          <w:szCs w:val="22"/>
        </w:rPr>
        <w:t xml:space="preserve"> </w:t>
      </w:r>
      <w:r w:rsidR="00561152" w:rsidRPr="00843406">
        <w:rPr>
          <w:szCs w:val="22"/>
          <w:lang w:val="lv-LV"/>
        </w:rPr>
        <w:t>Pirms saskar</w:t>
      </w:r>
      <w:r w:rsidR="00561152">
        <w:rPr>
          <w:szCs w:val="22"/>
          <w:lang w:val="lv-LV"/>
        </w:rPr>
        <w:t>es</w:t>
      </w:r>
      <w:r w:rsidR="00561152" w:rsidRPr="00843406">
        <w:rPr>
          <w:szCs w:val="22"/>
          <w:lang w:val="lv-LV"/>
        </w:rPr>
        <w:t xml:space="preserve"> ar </w:t>
      </w:r>
      <w:r w:rsidRPr="008D01C1">
        <w:rPr>
          <w:szCs w:val="22"/>
          <w:lang w:val="lv-LV"/>
        </w:rPr>
        <w:t xml:space="preserve">šādiem materiāliem, ļaujiet </w:t>
      </w:r>
      <w:r w:rsidR="002A5FE8">
        <w:rPr>
          <w:szCs w:val="22"/>
          <w:lang w:val="lv-LV"/>
        </w:rPr>
        <w:t>aplikācijas</w:t>
      </w:r>
      <w:r w:rsidRPr="008D01C1">
        <w:rPr>
          <w:szCs w:val="22"/>
          <w:lang w:val="lv-LV"/>
        </w:rPr>
        <w:t xml:space="preserve"> vietai nožūt.</w:t>
      </w:r>
    </w:p>
    <w:p w14:paraId="7590C583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F6199E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4.6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Iespējamās blakusparādības (biežums un bīstamība)</w:t>
      </w:r>
    </w:p>
    <w:p w14:paraId="754192F2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14:paraId="6FAF31DE" w14:textId="266EAA52" w:rsidR="00AC0C78" w:rsidRPr="008D01C1" w:rsidRDefault="00561152" w:rsidP="0048201A">
      <w:pPr>
        <w:pStyle w:val="BodyText"/>
        <w:tabs>
          <w:tab w:val="left" w:pos="-142"/>
        </w:tabs>
        <w:rPr>
          <w:szCs w:val="22"/>
        </w:rPr>
      </w:pPr>
      <w:r>
        <w:rPr>
          <w:szCs w:val="22"/>
          <w:lang w:val="lv-LV"/>
        </w:rPr>
        <w:t>Aplicēšanas</w:t>
      </w:r>
      <w:r w:rsidR="00AC0C78" w:rsidRPr="008D01C1">
        <w:rPr>
          <w:szCs w:val="22"/>
          <w:lang w:val="lv-LV"/>
        </w:rPr>
        <w:t xml:space="preserve"> vietā var rasties pārejoš</w:t>
      </w:r>
      <w:r w:rsidR="002A5FE8">
        <w:rPr>
          <w:szCs w:val="22"/>
          <w:lang w:val="lv-LV"/>
        </w:rPr>
        <w:t>s</w:t>
      </w:r>
      <w:r w:rsidR="00AC0C78" w:rsidRPr="008D01C1">
        <w:rPr>
          <w:szCs w:val="22"/>
          <w:lang w:val="lv-LV"/>
        </w:rPr>
        <w:t xml:space="preserve"> kosmētisk</w:t>
      </w:r>
      <w:r w:rsidR="002A5FE8">
        <w:rPr>
          <w:szCs w:val="22"/>
          <w:lang w:val="lv-LV"/>
        </w:rPr>
        <w:t>s</w:t>
      </w:r>
      <w:r w:rsidR="00AC0C78" w:rsidRPr="008D01C1">
        <w:rPr>
          <w:szCs w:val="22"/>
          <w:lang w:val="lv-LV"/>
        </w:rPr>
        <w:t xml:space="preserve"> </w:t>
      </w:r>
      <w:r w:rsidR="002A5FE8">
        <w:rPr>
          <w:szCs w:val="22"/>
          <w:lang w:val="lv-LV"/>
        </w:rPr>
        <w:t>d</w:t>
      </w:r>
      <w:r w:rsidR="00AC0C78" w:rsidRPr="008D01C1">
        <w:rPr>
          <w:szCs w:val="22"/>
          <w:lang w:val="lv-LV"/>
        </w:rPr>
        <w:t>efekt</w:t>
      </w:r>
      <w:r w:rsidR="002A5FE8">
        <w:rPr>
          <w:szCs w:val="22"/>
          <w:lang w:val="lv-LV"/>
        </w:rPr>
        <w:t>s</w:t>
      </w:r>
      <w:r w:rsidR="00AC0C78" w:rsidRPr="008D01C1">
        <w:rPr>
          <w:szCs w:val="22"/>
          <w:lang w:val="lv-LV"/>
        </w:rPr>
        <w:t>, piemēram, mitrs izskats vai viegla zvīņošanās.</w:t>
      </w:r>
      <w:r w:rsidR="00AC0C78" w:rsidRPr="008D01C1">
        <w:rPr>
          <w:szCs w:val="22"/>
        </w:rPr>
        <w:t xml:space="preserve"> </w:t>
      </w:r>
    </w:p>
    <w:p w14:paraId="2F18F77A" w14:textId="6C3D939F" w:rsidR="00AC0C78" w:rsidRPr="008D01C1" w:rsidRDefault="00AC0C78" w:rsidP="0048201A">
      <w:pPr>
        <w:pStyle w:val="BodyText"/>
        <w:tabs>
          <w:tab w:val="left" w:pos="-142"/>
        </w:tabs>
        <w:rPr>
          <w:szCs w:val="22"/>
        </w:rPr>
      </w:pPr>
      <w:r w:rsidRPr="008D01C1">
        <w:rPr>
          <w:szCs w:val="22"/>
          <w:lang w:val="lv-LV"/>
        </w:rPr>
        <w:t xml:space="preserve">Pamatojoties uz uzkrāto pieredzi par šīm aktīvajām vielām uz ādas pilināmu zāļu formu sastāvā, pēc lietošanas var novērot pārejošas ādas reakcijas </w:t>
      </w:r>
      <w:r w:rsidR="00561152">
        <w:rPr>
          <w:szCs w:val="22"/>
          <w:lang w:val="lv-LV"/>
        </w:rPr>
        <w:t>aplicēšanas</w:t>
      </w:r>
      <w:r w:rsidRPr="008D01C1">
        <w:rPr>
          <w:szCs w:val="22"/>
          <w:lang w:val="lv-LV"/>
        </w:rPr>
        <w:t xml:space="preserve"> vietā (zvīņošanos, lokālu alopēciju, niezi, eritēmu,</w:t>
      </w:r>
      <w:r w:rsidRPr="008D01C1">
        <w:rPr>
          <w:b/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>ādas krāsas pārmaiņas) un vispārēju niezi vai alopēciju.</w:t>
      </w:r>
      <w:r w:rsidRPr="008D01C1">
        <w:rPr>
          <w:szCs w:val="22"/>
        </w:rPr>
        <w:t xml:space="preserve"> </w:t>
      </w:r>
      <w:r w:rsidR="00561152" w:rsidRPr="00215FB0">
        <w:rPr>
          <w:color w:val="000000"/>
          <w:szCs w:val="22"/>
          <w:lang w:val="lv"/>
        </w:rPr>
        <w:t xml:space="preserve">Var rasties </w:t>
      </w:r>
      <w:r w:rsidR="00561152">
        <w:rPr>
          <w:color w:val="000000"/>
          <w:szCs w:val="22"/>
          <w:lang w:val="lv-LV"/>
        </w:rPr>
        <w:t>pastiprināta siekalošanās,</w:t>
      </w:r>
      <w:r w:rsidR="00561152" w:rsidRPr="00215FB0">
        <w:rPr>
          <w:color w:val="000000"/>
          <w:szCs w:val="22"/>
          <w:lang w:val="lv"/>
        </w:rPr>
        <w:t xml:space="preserve"> atgriezeniski neiroloģiskie simptomi (hiperestēzija, </w:t>
      </w:r>
      <w:r w:rsidR="00561152">
        <w:rPr>
          <w:color w:val="000000"/>
          <w:szCs w:val="22"/>
          <w:lang w:val="lv-LV"/>
        </w:rPr>
        <w:t>nomākums</w:t>
      </w:r>
      <w:r w:rsidR="00561152" w:rsidRPr="00215FB0">
        <w:rPr>
          <w:color w:val="000000"/>
          <w:szCs w:val="22"/>
          <w:lang w:val="lv"/>
        </w:rPr>
        <w:t xml:space="preserve">, </w:t>
      </w:r>
      <w:r w:rsidR="00561152">
        <w:rPr>
          <w:color w:val="000000"/>
          <w:szCs w:val="22"/>
          <w:lang w:val="lv"/>
        </w:rPr>
        <w:t>nervozitāte</w:t>
      </w:r>
      <w:r w:rsidR="00561152" w:rsidRPr="00215FB0">
        <w:rPr>
          <w:color w:val="000000"/>
          <w:szCs w:val="22"/>
          <w:lang w:val="lv"/>
        </w:rPr>
        <w:t>), ar elpošanu saistītas pazīmes vai vemšana. Šāda</w:t>
      </w:r>
      <w:r w:rsidR="00561152">
        <w:rPr>
          <w:color w:val="000000"/>
          <w:szCs w:val="22"/>
          <w:lang w:val="lv"/>
        </w:rPr>
        <w:t>s</w:t>
      </w:r>
      <w:r w:rsidR="00561152" w:rsidRPr="001274D5">
        <w:rPr>
          <w:color w:val="000000"/>
          <w:szCs w:val="22"/>
          <w:lang w:val="lv-LV"/>
        </w:rPr>
        <w:t xml:space="preserve"> </w:t>
      </w:r>
      <w:r w:rsidR="00561152">
        <w:rPr>
          <w:color w:val="000000"/>
          <w:szCs w:val="22"/>
          <w:lang w:val="lv-LV"/>
        </w:rPr>
        <w:t>reakcijas</w:t>
      </w:r>
      <w:r w:rsidR="00561152" w:rsidRPr="00215FB0">
        <w:rPr>
          <w:color w:val="000000"/>
          <w:szCs w:val="22"/>
          <w:lang w:val="lv"/>
        </w:rPr>
        <w:t xml:space="preserve"> rodas ļoti retos gadījumos.</w:t>
      </w:r>
    </w:p>
    <w:p w14:paraId="6BDAD776" w14:textId="77777777" w:rsidR="00AC0C78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588C965" w14:textId="77777777" w:rsidR="00922335" w:rsidRPr="00234262" w:rsidRDefault="00922335" w:rsidP="00922335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Veterināro zāļu blakusparādību sastopamības biežums norādīts sekojošā secībā:</w:t>
      </w:r>
    </w:p>
    <w:p w14:paraId="2BA30787" w14:textId="77777777" w:rsidR="00922335" w:rsidRPr="00234262" w:rsidRDefault="00922335" w:rsidP="00922335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szCs w:val="22"/>
          <w:lang w:val="lv-LV" w:eastAsia="en-US"/>
        </w:rPr>
        <w:t xml:space="preserve">- </w:t>
      </w:r>
      <w:r w:rsidRPr="00234262">
        <w:rPr>
          <w:snapToGrid/>
          <w:lang w:val="lv-LV" w:eastAsia="en-US"/>
        </w:rPr>
        <w:t>ļoti bieži (vairāk nekā 1 no 10 ārstētajiem dzīvniekiem novērota(-s) nevēlama(-s) blakusparādība(-s));</w:t>
      </w:r>
    </w:p>
    <w:p w14:paraId="286485BC" w14:textId="77777777" w:rsidR="00922335" w:rsidRPr="00234262" w:rsidRDefault="00922335" w:rsidP="00922335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- bieži (vairāk nekā 1, bet mazāk nekā 10 dzīvniekiem no 100 ārstētajiem dzīvniekiem);</w:t>
      </w:r>
    </w:p>
    <w:p w14:paraId="336B3FE9" w14:textId="77777777" w:rsidR="00922335" w:rsidRPr="00234262" w:rsidRDefault="00922335" w:rsidP="00922335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- retāk (vairāk nekā 1, bet mazāk nekā 10 dzīvniekiem no 1000 ārstētajiem dzīvniekiem);</w:t>
      </w:r>
    </w:p>
    <w:p w14:paraId="347F937B" w14:textId="77777777" w:rsidR="00922335" w:rsidRPr="00234262" w:rsidRDefault="00922335" w:rsidP="00922335">
      <w:pPr>
        <w:tabs>
          <w:tab w:val="clear" w:pos="567"/>
        </w:tabs>
        <w:spacing w:line="240" w:lineRule="auto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- reti (vairāk nekā 1, bet mazāk nekā 10 dzīvniekiem no 10000 ārstētajiem dzīvniekiem);</w:t>
      </w:r>
    </w:p>
    <w:p w14:paraId="1D499440" w14:textId="77777777" w:rsidR="00922335" w:rsidRDefault="00922335" w:rsidP="00922335">
      <w:pPr>
        <w:tabs>
          <w:tab w:val="clear" w:pos="567"/>
        </w:tabs>
        <w:spacing w:line="240" w:lineRule="auto"/>
        <w:jc w:val="both"/>
        <w:rPr>
          <w:snapToGrid/>
          <w:lang w:val="lv-LV" w:eastAsia="en-US"/>
        </w:rPr>
      </w:pPr>
      <w:r w:rsidRPr="00234262">
        <w:rPr>
          <w:snapToGrid/>
          <w:lang w:val="lv-LV" w:eastAsia="en-US"/>
        </w:rPr>
        <w:t>- ļoti reti (mazāk nekā 1 dzīvniekam no 10000 ārstētajiem dzīvniekiem, ieskaitot atsevišķus ziņojumus).</w:t>
      </w:r>
    </w:p>
    <w:p w14:paraId="2AC9286E" w14:textId="77777777" w:rsidR="00922335" w:rsidRPr="008D01C1" w:rsidRDefault="00922335" w:rsidP="0092233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20BAE3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4.7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Lietošana grūsnības, laktācijas vai dēšanas laikā</w:t>
      </w:r>
    </w:p>
    <w:p w14:paraId="3CAE4F69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06294ACA" w14:textId="2A0E536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 xml:space="preserve">Laboratoriskajos pētījumos </w:t>
      </w:r>
      <w:r w:rsidR="00561152">
        <w:rPr>
          <w:szCs w:val="22"/>
          <w:lang w:val="lv-LV"/>
        </w:rPr>
        <w:t>lietojot</w:t>
      </w:r>
      <w:r w:rsidRPr="008D01C1">
        <w:rPr>
          <w:szCs w:val="22"/>
          <w:lang w:val="lv-LV"/>
        </w:rPr>
        <w:t xml:space="preserve"> fipronilu un piriproksifēnu nav konstatēti nekādi pierādījumi par teratogēnu vai embriotoksisku iedarbību.</w:t>
      </w:r>
      <w:r w:rsidRPr="008D01C1">
        <w:rPr>
          <w:i/>
          <w:szCs w:val="22"/>
        </w:rPr>
        <w:t xml:space="preserve"> </w:t>
      </w:r>
      <w:r w:rsidR="00561152" w:rsidRPr="00215FB0">
        <w:rPr>
          <w:color w:val="000000"/>
          <w:szCs w:val="22"/>
          <w:lang w:val="lv"/>
        </w:rPr>
        <w:t xml:space="preserve">Nav pierādīts šo veterināro zāļu </w:t>
      </w:r>
      <w:r w:rsidR="00561152">
        <w:rPr>
          <w:color w:val="000000"/>
          <w:szCs w:val="22"/>
          <w:lang w:val="lv-LV"/>
        </w:rPr>
        <w:t>drošums</w:t>
      </w:r>
      <w:r w:rsidR="00561152" w:rsidRPr="00D649B3">
        <w:rPr>
          <w:color w:val="000000"/>
          <w:szCs w:val="22"/>
          <w:lang w:val="lv-LV"/>
        </w:rPr>
        <w:t xml:space="preserve"> </w:t>
      </w:r>
      <w:r w:rsidR="00561152" w:rsidRPr="00843406">
        <w:rPr>
          <w:szCs w:val="22"/>
          <w:lang w:val="lv-LV"/>
        </w:rPr>
        <w:t>kucēm</w:t>
      </w:r>
      <w:r w:rsidR="00561152" w:rsidRPr="00215FB0">
        <w:rPr>
          <w:color w:val="000000"/>
          <w:szCs w:val="22"/>
          <w:lang w:val="lv"/>
        </w:rPr>
        <w:t xml:space="preserve"> grūsnības un laktācijas laikā.</w:t>
      </w:r>
      <w:r w:rsidR="00561152" w:rsidRPr="00B24E0A">
        <w:rPr>
          <w:szCs w:val="22"/>
          <w:lang w:val="lv-LV"/>
        </w:rPr>
        <w:t xml:space="preserve"> </w:t>
      </w:r>
      <w:r w:rsidR="00561152" w:rsidRPr="00843406">
        <w:rPr>
          <w:szCs w:val="22"/>
          <w:lang w:val="lv-LV"/>
        </w:rPr>
        <w:t>Lieto</w:t>
      </w:r>
      <w:r w:rsidR="00561152">
        <w:rPr>
          <w:szCs w:val="22"/>
          <w:lang w:val="lv-LV"/>
        </w:rPr>
        <w:t>t</w:t>
      </w:r>
      <w:r w:rsidR="00561152" w:rsidRPr="00843406">
        <w:rPr>
          <w:szCs w:val="22"/>
          <w:lang w:val="lv-LV"/>
        </w:rPr>
        <w:t xml:space="preserve"> grūsnības un laktācijas laikā </w:t>
      </w:r>
      <w:r w:rsidR="00561152">
        <w:rPr>
          <w:szCs w:val="22"/>
          <w:lang w:val="lv-LV"/>
        </w:rPr>
        <w:t>tikai</w:t>
      </w:r>
      <w:r w:rsidR="00561152" w:rsidRPr="00843406">
        <w:rPr>
          <w:szCs w:val="22"/>
          <w:lang w:val="lv-LV"/>
        </w:rPr>
        <w:t xml:space="preserve"> </w:t>
      </w:r>
      <w:r w:rsidR="00561152" w:rsidRPr="001B6D55">
        <w:rPr>
          <w:szCs w:val="22"/>
          <w:lang w:val="lv-LV"/>
        </w:rPr>
        <w:t xml:space="preserve">pēc ārstējošā veterinārārsta </w:t>
      </w:r>
      <w:r w:rsidR="002A5FE8" w:rsidRPr="001B6D55">
        <w:rPr>
          <w:szCs w:val="22"/>
          <w:lang w:val="lv-LV"/>
        </w:rPr>
        <w:t xml:space="preserve"> ieguvuma un riska attiecības izvērtēšanas</w:t>
      </w:r>
      <w:r w:rsidRPr="008D01C1">
        <w:rPr>
          <w:szCs w:val="22"/>
          <w:lang w:val="lv-LV"/>
        </w:rPr>
        <w:t>.</w:t>
      </w:r>
    </w:p>
    <w:p w14:paraId="7926D11D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314C68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4.8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Mijiedarbība ar citām zālēm un citi mijiedarbības veidi</w:t>
      </w:r>
    </w:p>
    <w:p w14:paraId="3B4D09D3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157EA78A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Nav zināma.</w:t>
      </w:r>
    </w:p>
    <w:p w14:paraId="36EE2257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A828D6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4.9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Devas un lietošanas veids</w:t>
      </w:r>
    </w:p>
    <w:p w14:paraId="163393A7" w14:textId="77777777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53B43573" w14:textId="02A26253" w:rsidR="00AC0C78" w:rsidRPr="008D01C1" w:rsidRDefault="00561152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szCs w:val="22"/>
          <w:lang w:val="lv-LV"/>
        </w:rPr>
        <w:t>Uzp</w:t>
      </w:r>
      <w:r w:rsidRPr="00843406">
        <w:rPr>
          <w:szCs w:val="22"/>
          <w:lang w:val="lv-LV"/>
        </w:rPr>
        <w:t>ilināšanai</w:t>
      </w:r>
      <w:r w:rsidR="00AC0C78" w:rsidRPr="008D01C1">
        <w:rPr>
          <w:szCs w:val="22"/>
          <w:lang w:val="lv-LV"/>
        </w:rPr>
        <w:t>.</w:t>
      </w:r>
    </w:p>
    <w:p w14:paraId="43735711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3ADFFC4C" w14:textId="77777777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u w:val="single"/>
          <w:lang w:val="lv-LV"/>
        </w:rPr>
        <w:t>Deva</w:t>
      </w:r>
      <w:r w:rsidRPr="008D01C1">
        <w:rPr>
          <w:szCs w:val="22"/>
          <w:u w:val="single"/>
        </w:rPr>
        <w:t xml:space="preserve"> </w:t>
      </w:r>
    </w:p>
    <w:p w14:paraId="3DDEB046" w14:textId="0400CE2E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Lietojiet vienas 4,02 ml pipetes saturu sunim, kura svars ir no 40 līdz 60 kg</w:t>
      </w:r>
      <w:r w:rsidR="00561152">
        <w:rPr>
          <w:szCs w:val="22"/>
          <w:lang w:val="lv-LV"/>
        </w:rPr>
        <w:t>, kas atbilst</w:t>
      </w:r>
      <w:r w:rsidR="00561152" w:rsidRPr="00843406">
        <w:rPr>
          <w:szCs w:val="22"/>
          <w:lang w:val="lv-LV"/>
        </w:rPr>
        <w:t xml:space="preserve"> minimāl</w:t>
      </w:r>
      <w:r w:rsidR="00561152">
        <w:rPr>
          <w:szCs w:val="22"/>
          <w:lang w:val="lv-LV"/>
        </w:rPr>
        <w:t>ajai</w:t>
      </w:r>
      <w:r w:rsidR="00561152" w:rsidRPr="00843406">
        <w:rPr>
          <w:szCs w:val="22"/>
          <w:lang w:val="lv-LV"/>
        </w:rPr>
        <w:t xml:space="preserve"> ieteicam</w:t>
      </w:r>
      <w:r w:rsidR="00561152">
        <w:rPr>
          <w:szCs w:val="22"/>
          <w:lang w:val="lv-LV"/>
        </w:rPr>
        <w:t>ai</w:t>
      </w:r>
      <w:r w:rsidR="00561152" w:rsidRPr="00843406">
        <w:rPr>
          <w:szCs w:val="22"/>
          <w:lang w:val="lv-LV"/>
        </w:rPr>
        <w:t xml:space="preserve"> deva</w:t>
      </w:r>
      <w:r w:rsidR="00561152">
        <w:rPr>
          <w:szCs w:val="22"/>
          <w:lang w:val="lv-LV"/>
        </w:rPr>
        <w:t>i</w:t>
      </w:r>
      <w:r w:rsidRPr="008D01C1">
        <w:rPr>
          <w:szCs w:val="22"/>
          <w:lang w:val="lv-LV"/>
        </w:rPr>
        <w:t xml:space="preserve"> 6,7 mg fipronila uz kg </w:t>
      </w:r>
      <w:r w:rsidR="002A5FE8">
        <w:rPr>
          <w:szCs w:val="22"/>
          <w:lang w:val="lv-LV"/>
        </w:rPr>
        <w:t xml:space="preserve">ķermeņa </w:t>
      </w:r>
      <w:r w:rsidRPr="008D01C1">
        <w:rPr>
          <w:szCs w:val="22"/>
          <w:lang w:val="lv-LV"/>
        </w:rPr>
        <w:t xml:space="preserve">svara </w:t>
      </w:r>
      <w:r w:rsidR="00561152">
        <w:rPr>
          <w:szCs w:val="22"/>
          <w:lang w:val="lv-LV"/>
        </w:rPr>
        <w:t>(ķ.sv.)</w:t>
      </w:r>
      <w:r w:rsidR="00561152" w:rsidRPr="00843406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 xml:space="preserve">un 2 mg piriproksifēna uz kg </w:t>
      </w:r>
      <w:r w:rsidR="00561152">
        <w:rPr>
          <w:szCs w:val="22"/>
          <w:lang w:val="lv-LV"/>
        </w:rPr>
        <w:t>ķ.sv</w:t>
      </w:r>
      <w:r w:rsidRPr="008D01C1">
        <w:rPr>
          <w:szCs w:val="22"/>
          <w:lang w:val="lv-LV"/>
        </w:rPr>
        <w:t>.</w:t>
      </w:r>
    </w:p>
    <w:p w14:paraId="231D3DE8" w14:textId="77777777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tbl>
      <w:tblPr>
        <w:tblW w:w="92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196"/>
        <w:gridCol w:w="2410"/>
        <w:gridCol w:w="2410"/>
      </w:tblGrid>
      <w:tr w:rsidR="00340F6B" w:rsidRPr="008D01C1" w14:paraId="7BC4F093" w14:textId="77777777" w:rsidTr="007A1704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CA3E8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>Tilpums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8BEB8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Suņa svars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95E9A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Fipronils (mg)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7F17E7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Piriproksifēns (mg)</w:t>
            </w:r>
          </w:p>
        </w:tc>
      </w:tr>
      <w:tr w:rsidR="00340F6B" w:rsidRPr="008D01C1" w14:paraId="0E318F73" w14:textId="77777777" w:rsidTr="007A170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E3AAD" w14:textId="77777777" w:rsidR="00340F6B" w:rsidRPr="008D01C1" w:rsidRDefault="00340F6B" w:rsidP="00EF0F4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>0,67 ml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DE1AD" w14:textId="77777777" w:rsidR="00340F6B" w:rsidRPr="008D01C1" w:rsidRDefault="00340F6B" w:rsidP="00EF0F4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2-10 kg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9A16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67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1F41F2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20</w:t>
            </w:r>
            <w:r>
              <w:rPr>
                <w:szCs w:val="22"/>
              </w:rPr>
              <w:t>,1</w:t>
            </w:r>
          </w:p>
        </w:tc>
      </w:tr>
      <w:tr w:rsidR="00340F6B" w:rsidRPr="008D01C1" w14:paraId="7FD685D4" w14:textId="77777777" w:rsidTr="007A170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DA8A" w14:textId="77777777" w:rsidR="00340F6B" w:rsidRPr="008D01C1" w:rsidRDefault="00340F6B" w:rsidP="00EF0F4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lastRenderedPageBreak/>
              <w:t>1,34 ml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4969B" w14:textId="77777777" w:rsidR="00340F6B" w:rsidRPr="008D01C1" w:rsidRDefault="00340F6B" w:rsidP="00EF0F4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10-20 kg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942B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134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8B29FD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40</w:t>
            </w:r>
            <w:r>
              <w:rPr>
                <w:szCs w:val="22"/>
              </w:rPr>
              <w:t>,2</w:t>
            </w:r>
          </w:p>
        </w:tc>
      </w:tr>
      <w:tr w:rsidR="00340F6B" w:rsidRPr="008D01C1" w14:paraId="035D645B" w14:textId="77777777" w:rsidTr="007A170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91BB0" w14:textId="77777777" w:rsidR="00340F6B" w:rsidRPr="008D01C1" w:rsidRDefault="00340F6B" w:rsidP="00EF0F4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>2,68 ml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80A94" w14:textId="77777777" w:rsidR="00340F6B" w:rsidRPr="008D01C1" w:rsidRDefault="00340F6B" w:rsidP="00EF0F4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20-40 kg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A88DD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268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B1497F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80</w:t>
            </w:r>
            <w:r>
              <w:rPr>
                <w:szCs w:val="22"/>
              </w:rPr>
              <w:t>,4</w:t>
            </w:r>
          </w:p>
        </w:tc>
      </w:tr>
      <w:tr w:rsidR="00340F6B" w:rsidRPr="008D01C1" w14:paraId="2464BCBA" w14:textId="77777777" w:rsidTr="007A170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FBB05" w14:textId="77777777" w:rsidR="00340F6B" w:rsidRPr="008D01C1" w:rsidRDefault="00340F6B" w:rsidP="00EF0F4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val="lv-LV"/>
              </w:rPr>
            </w:pPr>
            <w:r>
              <w:rPr>
                <w:szCs w:val="22"/>
                <w:lang w:val="lv-LV"/>
              </w:rPr>
              <w:t>4,02 ml</w:t>
            </w:r>
          </w:p>
        </w:tc>
        <w:tc>
          <w:tcPr>
            <w:tcW w:w="21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7EFE" w14:textId="77777777" w:rsidR="00340F6B" w:rsidRPr="008D01C1" w:rsidRDefault="00340F6B" w:rsidP="00EF0F41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  <w:lang w:val="lv-LV"/>
              </w:rPr>
              <w:t>40-60 kg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9764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402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4684E2" w14:textId="77777777" w:rsidR="00340F6B" w:rsidRPr="008D01C1" w:rsidRDefault="00340F6B" w:rsidP="0048201A">
            <w:pPr>
              <w:tabs>
                <w:tab w:val="clear" w:pos="56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</w:rPr>
            </w:pPr>
            <w:r w:rsidRPr="008D01C1">
              <w:rPr>
                <w:szCs w:val="22"/>
              </w:rPr>
              <w:t>120</w:t>
            </w:r>
            <w:r>
              <w:rPr>
                <w:szCs w:val="22"/>
              </w:rPr>
              <w:t>,6</w:t>
            </w:r>
          </w:p>
        </w:tc>
      </w:tr>
    </w:tbl>
    <w:p w14:paraId="47A8F141" w14:textId="77777777" w:rsidR="00AC0C78" w:rsidRPr="008D01C1" w:rsidRDefault="00AC0C78" w:rsidP="00EF0F41">
      <w:pPr>
        <w:jc w:val="both"/>
        <w:rPr>
          <w:szCs w:val="22"/>
        </w:rPr>
      </w:pPr>
    </w:p>
    <w:p w14:paraId="373C219B" w14:textId="5AA03036" w:rsidR="00AC0C78" w:rsidRDefault="00AC0C78" w:rsidP="00EF0F41">
      <w:pPr>
        <w:jc w:val="both"/>
        <w:rPr>
          <w:szCs w:val="22"/>
          <w:lang w:val="lv-LV"/>
        </w:rPr>
      </w:pPr>
      <w:r w:rsidRPr="008D01C1">
        <w:rPr>
          <w:szCs w:val="22"/>
          <w:lang w:val="lv-LV"/>
        </w:rPr>
        <w:t xml:space="preserve">Suņiem, kuri sver </w:t>
      </w:r>
      <w:r w:rsidR="00B92843">
        <w:rPr>
          <w:szCs w:val="22"/>
          <w:lang w:val="lv-LV"/>
        </w:rPr>
        <w:t xml:space="preserve">vairāk </w:t>
      </w:r>
      <w:r w:rsidR="00561152">
        <w:rPr>
          <w:szCs w:val="22"/>
          <w:lang w:val="lv-LV"/>
        </w:rPr>
        <w:t xml:space="preserve">par </w:t>
      </w:r>
      <w:r w:rsidRPr="008D01C1">
        <w:rPr>
          <w:szCs w:val="22"/>
          <w:lang w:val="lv-LV"/>
        </w:rPr>
        <w:t xml:space="preserve">60 kg, </w:t>
      </w:r>
      <w:r w:rsidR="00561152">
        <w:rPr>
          <w:szCs w:val="22"/>
          <w:lang w:val="lv-LV"/>
        </w:rPr>
        <w:t>lietot</w:t>
      </w:r>
      <w:r w:rsidR="00561152" w:rsidRPr="008D01C1">
        <w:rPr>
          <w:szCs w:val="22"/>
          <w:lang w:val="lv-LV"/>
        </w:rPr>
        <w:t xml:space="preserve"> </w:t>
      </w:r>
      <w:r w:rsidR="002A5FE8" w:rsidRPr="00843406">
        <w:rPr>
          <w:szCs w:val="22"/>
          <w:lang w:val="lv-LV"/>
        </w:rPr>
        <w:t>atbilstoš</w:t>
      </w:r>
      <w:r w:rsidR="002A5FE8">
        <w:rPr>
          <w:szCs w:val="22"/>
          <w:lang w:val="lv-LV"/>
        </w:rPr>
        <w:t>u</w:t>
      </w:r>
      <w:r w:rsidR="002A5FE8" w:rsidRPr="008D01C1" w:rsidDel="002A5FE8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>pipešu kombinācija.</w:t>
      </w:r>
    </w:p>
    <w:p w14:paraId="18E20CBB" w14:textId="77777777" w:rsidR="00561152" w:rsidRPr="008D01C1" w:rsidRDefault="00561152" w:rsidP="00EF0F41">
      <w:pPr>
        <w:jc w:val="both"/>
        <w:rPr>
          <w:szCs w:val="22"/>
        </w:rPr>
      </w:pPr>
    </w:p>
    <w:p w14:paraId="330F181C" w14:textId="77777777" w:rsidR="00AC0C78" w:rsidRPr="008D01C1" w:rsidRDefault="00AC0C78" w:rsidP="0048201A">
      <w:pPr>
        <w:pStyle w:val="Heading5"/>
        <w:jc w:val="both"/>
        <w:rPr>
          <w:b w:val="0"/>
          <w:szCs w:val="22"/>
        </w:rPr>
      </w:pPr>
      <w:r w:rsidRPr="008D01C1">
        <w:rPr>
          <w:b w:val="0"/>
          <w:szCs w:val="22"/>
          <w:u w:val="single"/>
        </w:rPr>
        <w:t xml:space="preserve">Lietošanas veids: </w:t>
      </w:r>
    </w:p>
    <w:p w14:paraId="651CAA29" w14:textId="490053D0" w:rsidR="00AC0C78" w:rsidRPr="008D01C1" w:rsidRDefault="00AC0C78" w:rsidP="0048201A">
      <w:pPr>
        <w:tabs>
          <w:tab w:val="clear" w:pos="567"/>
          <w:tab w:val="left" w:pos="-3119"/>
        </w:tabs>
        <w:jc w:val="both"/>
        <w:rPr>
          <w:szCs w:val="22"/>
        </w:rPr>
      </w:pPr>
      <w:r w:rsidRPr="008D01C1">
        <w:rPr>
          <w:szCs w:val="22"/>
          <w:lang w:val="lv-LV"/>
        </w:rPr>
        <w:t>Izņemiet pipeti no ārējā blis</w:t>
      </w:r>
      <w:r w:rsidR="00083B68">
        <w:rPr>
          <w:szCs w:val="22"/>
          <w:lang w:val="lv-LV"/>
        </w:rPr>
        <w:t>t</w:t>
      </w:r>
      <w:r w:rsidRPr="008D01C1">
        <w:rPr>
          <w:szCs w:val="22"/>
          <w:lang w:val="lv-LV"/>
        </w:rPr>
        <w:t>er</w:t>
      </w:r>
      <w:r w:rsidR="00857584">
        <w:rPr>
          <w:szCs w:val="22"/>
          <w:lang w:val="lv-LV"/>
        </w:rPr>
        <w:t xml:space="preserve">a </w:t>
      </w:r>
      <w:r w:rsidRPr="008D01C1">
        <w:rPr>
          <w:szCs w:val="22"/>
          <w:lang w:val="lv-LV"/>
        </w:rPr>
        <w:t>iepakojuma.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>Turiet pipeti vertikāli.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>Uzsitiet pa pipetes šauro galu, lai nodrošinātu to, ka viss saturs atrodas pipetes galvenajā daļā.</w:t>
      </w:r>
      <w:r w:rsidRPr="008D01C1">
        <w:rPr>
          <w:szCs w:val="22"/>
        </w:rPr>
        <w:t xml:space="preserve"> </w:t>
      </w:r>
      <w:r w:rsidR="00AA1345" w:rsidRPr="008D01C1">
        <w:rPr>
          <w:szCs w:val="22"/>
          <w:lang w:val="lv-LV"/>
        </w:rPr>
        <w:t xml:space="preserve">Nolauziet </w:t>
      </w:r>
      <w:r w:rsidR="00561152">
        <w:rPr>
          <w:szCs w:val="22"/>
          <w:lang w:val="lv-LV"/>
        </w:rPr>
        <w:t xml:space="preserve">atdalāmo </w:t>
      </w:r>
      <w:r w:rsidR="00561152" w:rsidRPr="00843406">
        <w:rPr>
          <w:szCs w:val="22"/>
          <w:lang w:val="lv-LV"/>
        </w:rPr>
        <w:t>pipetes</w:t>
      </w:r>
      <w:r w:rsidR="00561152">
        <w:rPr>
          <w:szCs w:val="22"/>
          <w:lang w:val="lv-LV"/>
        </w:rPr>
        <w:t xml:space="preserve"> galu</w:t>
      </w:r>
      <w:r w:rsidRPr="008D01C1">
        <w:rPr>
          <w:szCs w:val="22"/>
          <w:lang w:val="lv-LV"/>
        </w:rPr>
        <w:t xml:space="preserve"> gar iezīmēto līniju.</w:t>
      </w:r>
    </w:p>
    <w:p w14:paraId="17B8C562" w14:textId="2C9C33E5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 xml:space="preserve">Pašķiriet dzīvnieka </w:t>
      </w:r>
      <w:r w:rsidR="002A5FE8" w:rsidRPr="00843406">
        <w:rPr>
          <w:szCs w:val="22"/>
          <w:lang w:val="lv-LV"/>
        </w:rPr>
        <w:t>ap</w:t>
      </w:r>
      <w:r w:rsidR="002A5FE8">
        <w:rPr>
          <w:szCs w:val="22"/>
          <w:lang w:val="lv-LV"/>
        </w:rPr>
        <w:t>matojumu</w:t>
      </w:r>
      <w:r w:rsidRPr="008D01C1">
        <w:rPr>
          <w:szCs w:val="22"/>
          <w:lang w:val="lv-LV"/>
        </w:rPr>
        <w:t xml:space="preserve"> uz kakla pamatnes pirms lāpstiņām, līdz ir redzama āda.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>Novietojiet pipetes galu tieši pret ādu un vairākas reizes uzmanīgi saspiediet, lai iztukšotu saturu.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>Ja nepieciešams, pipetes saturu var lietot vienā</w:t>
      </w:r>
      <w:r w:rsidR="00EF0F41">
        <w:rPr>
          <w:szCs w:val="22"/>
          <w:lang w:val="lv-LV"/>
        </w:rPr>
        <w:t>,</w:t>
      </w:r>
      <w:r w:rsidRPr="008D01C1">
        <w:rPr>
          <w:szCs w:val="22"/>
          <w:lang w:val="lv-LV"/>
        </w:rPr>
        <w:t xml:space="preserve"> vai divos papildu punktos uz dzīvnieka muguras, lai izvairītos no notecēšanas vai vairāk virspusējas lietošanas uz </w:t>
      </w:r>
      <w:r w:rsidR="002A5FE8" w:rsidRPr="00843406">
        <w:rPr>
          <w:szCs w:val="22"/>
          <w:lang w:val="lv-LV"/>
        </w:rPr>
        <w:t>ap</w:t>
      </w:r>
      <w:r w:rsidR="002A5FE8">
        <w:rPr>
          <w:szCs w:val="22"/>
          <w:lang w:val="lv-LV"/>
        </w:rPr>
        <w:t>matojuma</w:t>
      </w:r>
      <w:r w:rsidRPr="008D01C1">
        <w:rPr>
          <w:szCs w:val="22"/>
          <w:lang w:val="lv-LV"/>
        </w:rPr>
        <w:t>, it īpaši liel</w:t>
      </w:r>
      <w:r w:rsidR="002A5FE8">
        <w:rPr>
          <w:szCs w:val="22"/>
          <w:lang w:val="lv-LV"/>
        </w:rPr>
        <w:t>a</w:t>
      </w:r>
      <w:r w:rsidRPr="008D01C1">
        <w:rPr>
          <w:szCs w:val="22"/>
          <w:lang w:val="lv-LV"/>
        </w:rPr>
        <w:t xml:space="preserve"> </w:t>
      </w:r>
      <w:r w:rsidR="002A5FE8">
        <w:rPr>
          <w:szCs w:val="22"/>
          <w:lang w:val="lv-LV"/>
        </w:rPr>
        <w:t xml:space="preserve">auguma </w:t>
      </w:r>
      <w:r w:rsidRPr="008D01C1">
        <w:rPr>
          <w:szCs w:val="22"/>
          <w:lang w:val="lv-LV"/>
        </w:rPr>
        <w:t>suņiem.</w:t>
      </w:r>
    </w:p>
    <w:p w14:paraId="2678F5F4" w14:textId="4A636FD2" w:rsidR="00AC0C78" w:rsidRPr="008D01C1" w:rsidRDefault="0075459B" w:rsidP="0048201A">
      <w:pPr>
        <w:spacing w:line="240" w:lineRule="auto"/>
        <w:jc w:val="both"/>
        <w:rPr>
          <w:szCs w:val="22"/>
        </w:rPr>
      </w:pPr>
      <w:r w:rsidRPr="008D01C1">
        <w:rPr>
          <w:noProof/>
          <w:szCs w:val="22"/>
        </w:rPr>
        <w:drawing>
          <wp:inline distT="0" distB="0" distL="0" distR="0" wp14:anchorId="17D0A9B6" wp14:editId="7547465E">
            <wp:extent cx="399288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1C1">
        <w:rPr>
          <w:noProof/>
          <w:szCs w:val="22"/>
        </w:rPr>
        <w:drawing>
          <wp:inline distT="0" distB="0" distL="0" distR="0" wp14:anchorId="3B0B6F61" wp14:editId="628E85F0">
            <wp:extent cx="1013460" cy="1013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51B5" w14:textId="77777777" w:rsidR="00AC0C78" w:rsidRPr="008D01C1" w:rsidRDefault="00AC0C78" w:rsidP="0048201A">
      <w:pPr>
        <w:spacing w:line="240" w:lineRule="auto"/>
        <w:jc w:val="both"/>
        <w:rPr>
          <w:szCs w:val="22"/>
        </w:rPr>
      </w:pPr>
    </w:p>
    <w:p w14:paraId="1ACB4BD9" w14:textId="77777777" w:rsidR="00AC0C78" w:rsidRPr="008D01C1" w:rsidRDefault="00AC0C78" w:rsidP="0048201A">
      <w:pPr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Pilienu aizturēšanas sistēma (zāles izdalās tikai tad, kad tiek saspiesta pipetes galvenā daļa).</w:t>
      </w:r>
    </w:p>
    <w:p w14:paraId="04297510" w14:textId="4BF50C16" w:rsidR="00AC0C78" w:rsidRPr="008D01C1" w:rsidRDefault="0075459B" w:rsidP="0048201A">
      <w:pPr>
        <w:spacing w:line="240" w:lineRule="auto"/>
        <w:jc w:val="both"/>
        <w:rPr>
          <w:szCs w:val="22"/>
        </w:rPr>
      </w:pPr>
      <w:r w:rsidRPr="008D01C1">
        <w:rPr>
          <w:noProof/>
          <w:szCs w:val="22"/>
        </w:rPr>
        <w:drawing>
          <wp:inline distT="0" distB="0" distL="0" distR="0" wp14:anchorId="40BCA1EC" wp14:editId="0D06764C">
            <wp:extent cx="541020" cy="1036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0" t="-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1C1">
        <w:rPr>
          <w:noProof/>
          <w:szCs w:val="22"/>
        </w:rPr>
        <w:drawing>
          <wp:inline distT="0" distB="0" distL="0" distR="0" wp14:anchorId="1F9CB1BA" wp14:editId="440D0411">
            <wp:extent cx="1051560" cy="1028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CA740" w14:textId="77777777" w:rsidR="00AC0C78" w:rsidRPr="008D01C1" w:rsidRDefault="00AC0C78" w:rsidP="0048201A">
      <w:pPr>
        <w:spacing w:line="240" w:lineRule="auto"/>
        <w:jc w:val="both"/>
        <w:rPr>
          <w:szCs w:val="22"/>
        </w:rPr>
      </w:pPr>
    </w:p>
    <w:p w14:paraId="5A29242E" w14:textId="7F7FB027" w:rsidR="00AC0C78" w:rsidRPr="008D01C1" w:rsidRDefault="00B92843" w:rsidP="0048201A">
      <w:pPr>
        <w:jc w:val="both"/>
        <w:rPr>
          <w:szCs w:val="22"/>
        </w:rPr>
      </w:pPr>
      <w:r>
        <w:rPr>
          <w:szCs w:val="22"/>
          <w:lang w:val="lv-LV"/>
        </w:rPr>
        <w:t xml:space="preserve">Viena pipete paredzēta vienai </w:t>
      </w:r>
      <w:r w:rsidR="00561152">
        <w:rPr>
          <w:szCs w:val="22"/>
          <w:lang w:val="lv-LV"/>
        </w:rPr>
        <w:t>aplicēšanas</w:t>
      </w:r>
      <w:r>
        <w:rPr>
          <w:szCs w:val="22"/>
          <w:lang w:val="lv-LV"/>
        </w:rPr>
        <w:t xml:space="preserve"> reizei, </w:t>
      </w:r>
      <w:r w:rsidR="00AC0C78" w:rsidRPr="008D01C1">
        <w:rPr>
          <w:szCs w:val="22"/>
          <w:lang w:val="lv-LV"/>
        </w:rPr>
        <w:t>un šīs zāles var lietot atkārtoti katru mēnesi.</w:t>
      </w:r>
    </w:p>
    <w:p w14:paraId="775DE20F" w14:textId="6095D1CF" w:rsidR="00AC0C78" w:rsidRPr="008D01C1" w:rsidRDefault="00AC0C78" w:rsidP="0048201A">
      <w:pPr>
        <w:jc w:val="both"/>
        <w:rPr>
          <w:szCs w:val="22"/>
        </w:rPr>
      </w:pPr>
      <w:r w:rsidRPr="008D01C1">
        <w:rPr>
          <w:szCs w:val="22"/>
          <w:lang w:val="lv-LV"/>
        </w:rPr>
        <w:t xml:space="preserve">Lai optimāli kontrolētu blusu un ērču invāziju un blusu vairošanos, </w:t>
      </w:r>
      <w:r w:rsidR="00F125ED">
        <w:rPr>
          <w:szCs w:val="22"/>
          <w:lang w:val="lv-LV"/>
        </w:rPr>
        <w:t>aplicēšanas</w:t>
      </w:r>
      <w:r w:rsidRPr="008D01C1">
        <w:rPr>
          <w:szCs w:val="22"/>
          <w:lang w:val="lv-LV"/>
        </w:rPr>
        <w:t xml:space="preserve"> </w:t>
      </w:r>
      <w:r w:rsidR="00B92843">
        <w:rPr>
          <w:szCs w:val="22"/>
          <w:lang w:val="lv-LV"/>
        </w:rPr>
        <w:t xml:space="preserve">grafiku var </w:t>
      </w:r>
      <w:r w:rsidR="00EF0F41">
        <w:rPr>
          <w:szCs w:val="22"/>
          <w:lang w:val="lv-LV"/>
        </w:rPr>
        <w:t>pamatot ar</w:t>
      </w:r>
      <w:r w:rsidRPr="008D01C1">
        <w:rPr>
          <w:szCs w:val="22"/>
          <w:lang w:val="lv-LV"/>
        </w:rPr>
        <w:t xml:space="preserve"> vietējo epidemioloģisko situāciju.</w:t>
      </w:r>
      <w:r w:rsidRPr="008D01C1">
        <w:rPr>
          <w:szCs w:val="22"/>
        </w:rPr>
        <w:t xml:space="preserve"> </w:t>
      </w:r>
    </w:p>
    <w:p w14:paraId="67B6421F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139606" w14:textId="77777777" w:rsidR="00AC0C78" w:rsidRPr="008D01C1" w:rsidRDefault="00AC0C78" w:rsidP="0048201A">
      <w:pPr>
        <w:pStyle w:val="BodyTextIndent"/>
        <w:keepNext/>
        <w:keepLines/>
        <w:ind w:left="0" w:firstLine="0"/>
        <w:jc w:val="both"/>
        <w:rPr>
          <w:szCs w:val="22"/>
        </w:rPr>
      </w:pPr>
      <w:r w:rsidRPr="008D01C1">
        <w:rPr>
          <w:szCs w:val="22"/>
        </w:rPr>
        <w:t>4.10</w:t>
      </w:r>
      <w:r w:rsidRPr="008D01C1">
        <w:rPr>
          <w:szCs w:val="22"/>
        </w:rPr>
        <w:tab/>
      </w:r>
      <w:r w:rsidRPr="008D01C1">
        <w:rPr>
          <w:szCs w:val="22"/>
          <w:lang w:val="lv-LV"/>
        </w:rPr>
        <w:t>Pārdozēšana (simptomi, rīcība ārkārtas situācijā, antidoti), ja nepieciešams</w:t>
      </w:r>
    </w:p>
    <w:p w14:paraId="486F3A32" w14:textId="77777777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szCs w:val="22"/>
        </w:rPr>
      </w:pPr>
    </w:p>
    <w:p w14:paraId="6E187E15" w14:textId="6E9EE5F6" w:rsidR="00AC0C78" w:rsidRPr="008D01C1" w:rsidRDefault="00AC0C78" w:rsidP="0048201A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 xml:space="preserve">Drošuma pētījumā ar 10 nedēļu veciem kucēniem, kuriem 3 reizes ar 4 nedēļu intervālu lietoja devu, kas līdz 5 reizēm pārsniedza ieteicamo devu, vai kuriem 6 reizes ar 4 nedēļu intervālu lietoja maksimālo ieteicamo devu, </w:t>
      </w:r>
      <w:r w:rsidR="00F125ED">
        <w:rPr>
          <w:szCs w:val="22"/>
          <w:lang w:val="lv-LV"/>
        </w:rPr>
        <w:t>nopietnas</w:t>
      </w:r>
      <w:r w:rsidRPr="008D01C1">
        <w:rPr>
          <w:szCs w:val="22"/>
          <w:lang w:val="lv-LV"/>
        </w:rPr>
        <w:t xml:space="preserve"> blakusparādības nenovēroja.</w:t>
      </w:r>
    </w:p>
    <w:p w14:paraId="3CA9D760" w14:textId="60E9008E" w:rsidR="00AC0C78" w:rsidRPr="008D01C1" w:rsidRDefault="00AC0C78" w:rsidP="0048201A">
      <w:pPr>
        <w:jc w:val="both"/>
        <w:rPr>
          <w:szCs w:val="22"/>
        </w:rPr>
      </w:pPr>
      <w:r w:rsidRPr="008D01C1">
        <w:rPr>
          <w:szCs w:val="22"/>
          <w:lang w:val="lv-LV"/>
        </w:rPr>
        <w:t>Tomēr pārdozējot</w:t>
      </w:r>
      <w:r w:rsidR="00EF0F41">
        <w:rPr>
          <w:szCs w:val="22"/>
          <w:lang w:val="lv-LV"/>
        </w:rPr>
        <w:t>,</w:t>
      </w:r>
      <w:r w:rsidRPr="008D01C1">
        <w:rPr>
          <w:szCs w:val="22"/>
          <w:lang w:val="lv-LV"/>
        </w:rPr>
        <w:t xml:space="preserve"> blakusparādību rašanās risks var palielināties (skatīt 4.6. apakšpunktu), tāpēc dzīvniekiem vienmēr jāizmanto to </w:t>
      </w:r>
      <w:r w:rsidR="002A5FE8">
        <w:rPr>
          <w:szCs w:val="22"/>
          <w:lang w:val="lv-LV"/>
        </w:rPr>
        <w:t xml:space="preserve">ķermeņa </w:t>
      </w:r>
      <w:r w:rsidR="002A5FE8" w:rsidRPr="00843406">
        <w:rPr>
          <w:szCs w:val="22"/>
          <w:lang w:val="lv-LV"/>
        </w:rPr>
        <w:t>svaram</w:t>
      </w:r>
      <w:r w:rsidRPr="008D01C1">
        <w:rPr>
          <w:szCs w:val="22"/>
          <w:lang w:val="lv-LV"/>
        </w:rPr>
        <w:t xml:space="preserve"> </w:t>
      </w:r>
      <w:r w:rsidR="00F125ED" w:rsidRPr="00843406">
        <w:rPr>
          <w:szCs w:val="22"/>
          <w:lang w:val="lv-LV"/>
        </w:rPr>
        <w:t>atbilstoš</w:t>
      </w:r>
      <w:r w:rsidR="00F125ED">
        <w:rPr>
          <w:szCs w:val="22"/>
          <w:lang w:val="lv-LV"/>
        </w:rPr>
        <w:t>s</w:t>
      </w:r>
      <w:r w:rsidR="00F125ED" w:rsidRPr="00843406">
        <w:rPr>
          <w:szCs w:val="22"/>
          <w:lang w:val="lv-LV"/>
        </w:rPr>
        <w:t xml:space="preserve"> pipete</w:t>
      </w:r>
      <w:r w:rsidR="00F125ED">
        <w:rPr>
          <w:szCs w:val="22"/>
          <w:lang w:val="lv-LV"/>
        </w:rPr>
        <w:t>s</w:t>
      </w:r>
      <w:r w:rsidR="00F125ED" w:rsidRPr="004039B7">
        <w:rPr>
          <w:szCs w:val="22"/>
          <w:lang w:val="lv-LV"/>
        </w:rPr>
        <w:t xml:space="preserve"> </w:t>
      </w:r>
      <w:r w:rsidR="00F125ED" w:rsidRPr="00843406">
        <w:rPr>
          <w:szCs w:val="22"/>
          <w:lang w:val="lv-LV"/>
        </w:rPr>
        <w:t>izmēr</w:t>
      </w:r>
      <w:r w:rsidR="00F125ED">
        <w:rPr>
          <w:szCs w:val="22"/>
          <w:lang w:val="lv-LV"/>
        </w:rPr>
        <w:t>s</w:t>
      </w:r>
      <w:r w:rsidRPr="008D01C1">
        <w:rPr>
          <w:szCs w:val="22"/>
          <w:lang w:val="lv-LV"/>
        </w:rPr>
        <w:t>.</w:t>
      </w:r>
    </w:p>
    <w:p w14:paraId="5AB85F81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34CBB3" w14:textId="77777777" w:rsidR="00AC0C78" w:rsidRPr="008D01C1" w:rsidRDefault="00AC0C78" w:rsidP="0048201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4.11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Ierobežojumu periods(</w:t>
      </w:r>
      <w:r w:rsidR="00F125ED">
        <w:rPr>
          <w:b/>
          <w:szCs w:val="22"/>
          <w:lang w:val="lv-LV"/>
        </w:rPr>
        <w:t>-</w:t>
      </w:r>
      <w:r w:rsidRPr="008D01C1">
        <w:rPr>
          <w:b/>
          <w:szCs w:val="22"/>
          <w:lang w:val="lv-LV"/>
        </w:rPr>
        <w:t>i) dzīvnieku produkcijas izmantošanā</w:t>
      </w:r>
    </w:p>
    <w:p w14:paraId="7A778B2F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237F56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Nav piemērojams.</w:t>
      </w:r>
    </w:p>
    <w:p w14:paraId="07D8EA6D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A60575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2C1347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5.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FARMAKOLOĢISKĀS ĪPAŠĪBAS</w:t>
      </w:r>
    </w:p>
    <w:p w14:paraId="60EC3FFE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625FCBC3" w14:textId="65C740E5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Farmakoterapeitiskā grupa:</w:t>
      </w:r>
      <w:r w:rsidRPr="008D01C1">
        <w:rPr>
          <w:szCs w:val="22"/>
        </w:rPr>
        <w:t xml:space="preserve"> </w:t>
      </w:r>
      <w:r w:rsidR="00EF0F41">
        <w:rPr>
          <w:szCs w:val="22"/>
          <w:lang w:val="lv-LV"/>
        </w:rPr>
        <w:t>p</w:t>
      </w:r>
      <w:r w:rsidR="002A5FE8">
        <w:rPr>
          <w:szCs w:val="22"/>
          <w:lang w:val="lv-LV"/>
        </w:rPr>
        <w:t>retektoparazīt</w:t>
      </w:r>
      <w:r w:rsidR="00F125ED">
        <w:rPr>
          <w:szCs w:val="22"/>
          <w:lang w:val="lv-LV"/>
        </w:rPr>
        <w:t>u</w:t>
      </w:r>
      <w:r w:rsidR="002A5FE8">
        <w:rPr>
          <w:szCs w:val="22"/>
          <w:lang w:val="lv-LV"/>
        </w:rPr>
        <w:t xml:space="preserve"> līdzekļi lokālai lietošanai</w:t>
      </w:r>
      <w:r w:rsidRPr="008D01C1">
        <w:rPr>
          <w:szCs w:val="22"/>
          <w:lang w:val="lv-LV"/>
        </w:rPr>
        <w:t>, fipronila kombinācijas.</w:t>
      </w:r>
    </w:p>
    <w:p w14:paraId="1018E58A" w14:textId="77777777" w:rsidR="00AC0C78" w:rsidRPr="008D01C1" w:rsidRDefault="00AC0C78" w:rsidP="0048201A">
      <w:pPr>
        <w:jc w:val="both"/>
        <w:rPr>
          <w:szCs w:val="22"/>
          <w:lang w:val="fr-FR"/>
        </w:rPr>
      </w:pPr>
      <w:r w:rsidRPr="008D01C1">
        <w:rPr>
          <w:szCs w:val="22"/>
          <w:lang w:val="lv-LV"/>
        </w:rPr>
        <w:t>ATĶ</w:t>
      </w:r>
      <w:r w:rsidR="00F125ED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>vet kods:</w:t>
      </w:r>
      <w:r w:rsidRPr="008D01C1">
        <w:rPr>
          <w:szCs w:val="22"/>
          <w:lang w:val="fr-FR"/>
        </w:rPr>
        <w:t xml:space="preserve"> </w:t>
      </w:r>
      <w:r w:rsidRPr="008D01C1">
        <w:rPr>
          <w:szCs w:val="22"/>
          <w:lang w:val="lv-LV"/>
        </w:rPr>
        <w:t>QP53AX65.</w:t>
      </w:r>
    </w:p>
    <w:p w14:paraId="262A8F9D" w14:textId="77777777" w:rsidR="00AC0C78" w:rsidRPr="008D01C1" w:rsidRDefault="00AC0C78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D44184" w14:textId="77777777" w:rsidR="00AC0C78" w:rsidRPr="008D01C1" w:rsidRDefault="00AC0C78" w:rsidP="00EF0F41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D01C1">
        <w:rPr>
          <w:b/>
          <w:szCs w:val="22"/>
        </w:rPr>
        <w:t>5.1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Farmakodinamiskās īpašības</w:t>
      </w:r>
    </w:p>
    <w:p w14:paraId="6EE249BB" w14:textId="77777777" w:rsidR="00AC0C78" w:rsidRPr="008D01C1" w:rsidRDefault="00AC0C78" w:rsidP="00EF0F41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7A337088" w14:textId="77389FE3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  <w:lang w:val="lv-LV"/>
        </w:rPr>
        <w:t xml:space="preserve">Fipronils </w:t>
      </w:r>
      <w:r w:rsidRPr="008D01C1">
        <w:rPr>
          <w:szCs w:val="22"/>
          <w:lang w:val="lv-LV"/>
        </w:rPr>
        <w:t>ir insekticīds un akaricīds līdzeklis, kas pieder fenilpirazola grupai.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 xml:space="preserve">Fipronils un tā metabolīts fipronila sulfons iedarbojas uz ligandu </w:t>
      </w:r>
      <w:r w:rsidR="00F125ED">
        <w:rPr>
          <w:szCs w:val="22"/>
          <w:lang w:val="lv-LV"/>
        </w:rPr>
        <w:t>mediētiem</w:t>
      </w:r>
      <w:r w:rsidR="00F125ED" w:rsidRPr="008D01C1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>hlorīdjonu kanāliem, it īpaši uz neirotransmiter</w:t>
      </w:r>
      <w:r w:rsidR="00857584">
        <w:rPr>
          <w:szCs w:val="22"/>
          <w:lang w:val="lv-LV"/>
        </w:rPr>
        <w:t>a</w:t>
      </w:r>
      <w:r w:rsidRPr="008D01C1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lastRenderedPageBreak/>
        <w:t xml:space="preserve">gamma aminosviestskābes (GASS) </w:t>
      </w:r>
      <w:r w:rsidR="00F125ED">
        <w:rPr>
          <w:szCs w:val="22"/>
          <w:lang w:val="lv-LV"/>
        </w:rPr>
        <w:t>mediētiem</w:t>
      </w:r>
      <w:r w:rsidR="00F125ED" w:rsidRPr="008D01C1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 xml:space="preserve">kanāliem, kā arī desensibilizējošajiem (D) un ne-desensibilizējošajiem (N) glutamāta kanāliem (Glu, unikāli ligandu </w:t>
      </w:r>
      <w:r w:rsidR="00F125ED">
        <w:rPr>
          <w:szCs w:val="22"/>
          <w:lang w:val="lv-LV"/>
        </w:rPr>
        <w:t>mediēti</w:t>
      </w:r>
      <w:r w:rsidRPr="008D01C1">
        <w:rPr>
          <w:szCs w:val="22"/>
          <w:lang w:val="lv-LV"/>
        </w:rPr>
        <w:t xml:space="preserve"> hlorīdjonu kanāli bezmugurkaulniekiem), tādējādi bloķējot pre- un postsinaptisko hlorīdjonu pārnesi caur šūnu membrānām.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 xml:space="preserve">Tā rezultātā rodas nekontrolēta centrālās nervu sistēmas aktivitāte un </w:t>
      </w:r>
      <w:r w:rsidR="002A5FE8">
        <w:rPr>
          <w:szCs w:val="22"/>
          <w:lang w:val="lv-LV"/>
        </w:rPr>
        <w:t>kukaiņu</w:t>
      </w:r>
      <w:r w:rsidRPr="008D01C1">
        <w:rPr>
          <w:szCs w:val="22"/>
          <w:lang w:val="lv-LV"/>
        </w:rPr>
        <w:t xml:space="preserve"> vai ērču bojāeja.</w:t>
      </w:r>
    </w:p>
    <w:p w14:paraId="22711D4D" w14:textId="77777777" w:rsidR="00AC0C78" w:rsidRPr="008D01C1" w:rsidRDefault="00AC0C78" w:rsidP="0048201A">
      <w:pPr>
        <w:jc w:val="both"/>
        <w:rPr>
          <w:szCs w:val="22"/>
        </w:rPr>
      </w:pPr>
    </w:p>
    <w:p w14:paraId="687DCB3E" w14:textId="001DB7B3" w:rsidR="00AC0C78" w:rsidRPr="008D01C1" w:rsidRDefault="00AC0C78" w:rsidP="00EF0F41">
      <w:pPr>
        <w:jc w:val="both"/>
        <w:rPr>
          <w:szCs w:val="22"/>
        </w:rPr>
      </w:pPr>
      <w:r w:rsidRPr="008D01C1">
        <w:rPr>
          <w:b/>
          <w:szCs w:val="22"/>
          <w:lang w:val="lv-LV"/>
        </w:rPr>
        <w:t xml:space="preserve">Piriproksifēns </w:t>
      </w:r>
      <w:r w:rsidRPr="008D01C1">
        <w:rPr>
          <w:szCs w:val="22"/>
          <w:lang w:val="lv-LV"/>
        </w:rPr>
        <w:t xml:space="preserve">ir </w:t>
      </w:r>
      <w:r w:rsidR="002A5FE8">
        <w:rPr>
          <w:szCs w:val="22"/>
          <w:lang w:val="lv-LV"/>
        </w:rPr>
        <w:t>kukaiņu</w:t>
      </w:r>
      <w:r w:rsidRPr="008D01C1">
        <w:rPr>
          <w:szCs w:val="22"/>
          <w:lang w:val="lv-LV"/>
        </w:rPr>
        <w:t xml:space="preserve"> augšanas regulators (</w:t>
      </w:r>
      <w:r w:rsidR="00F125ED">
        <w:rPr>
          <w:szCs w:val="22"/>
          <w:lang w:val="lv-LV"/>
        </w:rPr>
        <w:t>K</w:t>
      </w:r>
      <w:r w:rsidRPr="008D01C1">
        <w:rPr>
          <w:szCs w:val="22"/>
          <w:lang w:val="lv-LV"/>
        </w:rPr>
        <w:t>AR), kas pieder savienojumu grupai</w:t>
      </w:r>
      <w:r w:rsidR="002A5FE8">
        <w:rPr>
          <w:szCs w:val="22"/>
          <w:lang w:val="lv-LV"/>
        </w:rPr>
        <w:t>, kas pazīstama kā</w:t>
      </w:r>
      <w:r w:rsidRPr="008D01C1">
        <w:rPr>
          <w:szCs w:val="22"/>
          <w:lang w:val="lv-LV"/>
        </w:rPr>
        <w:t xml:space="preserve"> juvenilo hormonu analogi.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>Piriproksifēns sterilizē pieaugušas blusas un inhibē nenobriedušu blusu attīstību.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 xml:space="preserve">Saskares gadījumā šī molekula novērš pieaugušu </w:t>
      </w:r>
      <w:r w:rsidR="002A5FE8">
        <w:rPr>
          <w:szCs w:val="22"/>
          <w:lang w:val="lv-LV"/>
        </w:rPr>
        <w:t>kukaiņu</w:t>
      </w:r>
      <w:r w:rsidRPr="008D01C1">
        <w:rPr>
          <w:szCs w:val="22"/>
          <w:lang w:val="lv-LV"/>
        </w:rPr>
        <w:t xml:space="preserve"> parādīšanos, bloķējot oliņu attīstību (ov</w:t>
      </w:r>
      <w:r w:rsidR="002A5FE8">
        <w:rPr>
          <w:szCs w:val="22"/>
          <w:lang w:val="lv-LV"/>
        </w:rPr>
        <w:t>o</w:t>
      </w:r>
      <w:r w:rsidRPr="008D01C1">
        <w:rPr>
          <w:szCs w:val="22"/>
          <w:lang w:val="lv-LV"/>
        </w:rPr>
        <w:t>cīda iedarbība) un larvu un kūniņu attīstību (larvicīda iedarbība), kas pēc tam tiek izvadītas.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 xml:space="preserve">Kad ar šo molekulu saskaras </w:t>
      </w:r>
      <w:r w:rsidR="00F125ED">
        <w:rPr>
          <w:szCs w:val="22"/>
          <w:lang w:val="lv-LV"/>
        </w:rPr>
        <w:t>un/</w:t>
      </w:r>
      <w:r w:rsidRPr="008D01C1">
        <w:rPr>
          <w:szCs w:val="22"/>
          <w:lang w:val="lv-LV"/>
        </w:rPr>
        <w:t>vai to uzņem pieaugušas blusas, tā iedarbojas arī sterilizējot oliņas to nobriešanas laikā un pirms izdēšanas.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 xml:space="preserve">Šī molekula novērš apstrādāto dzīvnieku </w:t>
      </w:r>
      <w:r w:rsidR="00F125ED">
        <w:rPr>
          <w:szCs w:val="22"/>
          <w:lang w:val="lv-LV"/>
        </w:rPr>
        <w:t>apkārtējās</w:t>
      </w:r>
      <w:r w:rsidR="00F125ED" w:rsidRPr="008D01C1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>vides piesārņošanu ar blusām nenobriedušās attīstības stadijās.</w:t>
      </w:r>
    </w:p>
    <w:p w14:paraId="3CEAF32C" w14:textId="77777777" w:rsidR="00AC0C78" w:rsidRPr="008D01C1" w:rsidRDefault="00AC0C78" w:rsidP="0048201A">
      <w:pPr>
        <w:jc w:val="both"/>
        <w:rPr>
          <w:szCs w:val="22"/>
        </w:rPr>
      </w:pPr>
    </w:p>
    <w:p w14:paraId="1C7FBD2C" w14:textId="0F1CFCA3" w:rsidR="00AC0C78" w:rsidRPr="008D01C1" w:rsidRDefault="00AC0C78" w:rsidP="00EF0F41">
      <w:pPr>
        <w:jc w:val="both"/>
        <w:rPr>
          <w:szCs w:val="22"/>
        </w:rPr>
      </w:pPr>
      <w:r w:rsidRPr="008D01C1">
        <w:rPr>
          <w:szCs w:val="22"/>
          <w:lang w:val="lv-LV"/>
        </w:rPr>
        <w:t>Fipronila un piriproksifēna kombinācija nodrošina insekticīdu un akaricīdu iedarbību pret blusām (</w:t>
      </w:r>
      <w:r w:rsidRPr="008D01C1">
        <w:rPr>
          <w:i/>
          <w:szCs w:val="22"/>
          <w:lang w:val="lv-LV"/>
        </w:rPr>
        <w:t>Ctenocephalides felis</w:t>
      </w:r>
      <w:r w:rsidRPr="008D01C1">
        <w:rPr>
          <w:szCs w:val="22"/>
          <w:lang w:val="lv-LV"/>
        </w:rPr>
        <w:t>) un ērc</w:t>
      </w:r>
      <w:r w:rsidR="00870FF2" w:rsidRPr="008D01C1">
        <w:rPr>
          <w:szCs w:val="22"/>
          <w:lang w:val="lv-LV"/>
        </w:rPr>
        <w:t>ē</w:t>
      </w:r>
      <w:r w:rsidRPr="008D01C1">
        <w:rPr>
          <w:szCs w:val="22"/>
          <w:lang w:val="lv-LV"/>
        </w:rPr>
        <w:t>m (</w:t>
      </w:r>
      <w:r w:rsidRPr="008D01C1">
        <w:rPr>
          <w:i/>
          <w:szCs w:val="22"/>
          <w:lang w:val="lv-LV"/>
        </w:rPr>
        <w:t>Rhipicephalus</w:t>
      </w:r>
      <w:r w:rsidRPr="008D01C1">
        <w:rPr>
          <w:szCs w:val="22"/>
          <w:lang w:val="lv-LV"/>
        </w:rPr>
        <w:t xml:space="preserve"> </w:t>
      </w:r>
      <w:r w:rsidRPr="008D01C1">
        <w:rPr>
          <w:i/>
          <w:szCs w:val="22"/>
          <w:lang w:val="lv-LV"/>
        </w:rPr>
        <w:t>sanguineus</w:t>
      </w:r>
      <w:r w:rsidRPr="008D01C1">
        <w:rPr>
          <w:szCs w:val="22"/>
          <w:lang w:val="lv-LV"/>
        </w:rPr>
        <w:t xml:space="preserve">, </w:t>
      </w:r>
      <w:r w:rsidRPr="008D01C1">
        <w:rPr>
          <w:i/>
          <w:szCs w:val="22"/>
          <w:lang w:val="lv-LV"/>
        </w:rPr>
        <w:t>Dermacentor</w:t>
      </w:r>
      <w:r w:rsidRPr="008D01C1">
        <w:rPr>
          <w:szCs w:val="22"/>
          <w:lang w:val="lv-LV"/>
        </w:rPr>
        <w:t xml:space="preserve"> </w:t>
      </w:r>
      <w:r w:rsidRPr="008D01C1">
        <w:rPr>
          <w:i/>
          <w:szCs w:val="22"/>
          <w:lang w:val="lv-LV"/>
        </w:rPr>
        <w:t>reticulatus</w:t>
      </w:r>
      <w:r w:rsidRPr="008D01C1">
        <w:rPr>
          <w:szCs w:val="22"/>
          <w:lang w:val="lv-LV"/>
        </w:rPr>
        <w:t xml:space="preserve">, </w:t>
      </w:r>
      <w:r w:rsidRPr="008D01C1">
        <w:rPr>
          <w:i/>
          <w:szCs w:val="22"/>
          <w:lang w:val="lv-LV"/>
        </w:rPr>
        <w:t>Ixodes</w:t>
      </w:r>
      <w:r w:rsidRPr="008D01C1">
        <w:rPr>
          <w:szCs w:val="22"/>
          <w:lang w:val="lv-LV"/>
        </w:rPr>
        <w:t xml:space="preserve"> </w:t>
      </w:r>
      <w:r w:rsidRPr="008D01C1">
        <w:rPr>
          <w:i/>
          <w:szCs w:val="22"/>
          <w:lang w:val="lv-LV"/>
        </w:rPr>
        <w:t>ricinus</w:t>
      </w:r>
      <w:r w:rsidRPr="008D01C1">
        <w:rPr>
          <w:b/>
          <w:szCs w:val="22"/>
          <w:lang w:val="lv-LV"/>
        </w:rPr>
        <w:t xml:space="preserve">) </w:t>
      </w:r>
      <w:r w:rsidRPr="008D01C1">
        <w:rPr>
          <w:szCs w:val="22"/>
          <w:lang w:val="lv-LV"/>
        </w:rPr>
        <w:t xml:space="preserve">un arī novērš pieaugušu blusu </w:t>
      </w:r>
      <w:r w:rsidR="00F125ED" w:rsidRPr="00D649B3">
        <w:rPr>
          <w:szCs w:val="22"/>
          <w:lang w:val="lv-LV"/>
        </w:rPr>
        <w:t xml:space="preserve">attīstību </w:t>
      </w:r>
      <w:r w:rsidR="00F125ED" w:rsidRPr="00843406">
        <w:rPr>
          <w:szCs w:val="22"/>
          <w:lang w:val="lv-LV"/>
        </w:rPr>
        <w:t xml:space="preserve">no </w:t>
      </w:r>
      <w:r w:rsidR="00F125ED" w:rsidRPr="00D649B3">
        <w:rPr>
          <w:szCs w:val="22"/>
          <w:lang w:val="lv-LV"/>
        </w:rPr>
        <w:t xml:space="preserve">blusu </w:t>
      </w:r>
      <w:r w:rsidRPr="008D01C1">
        <w:rPr>
          <w:szCs w:val="22"/>
          <w:lang w:val="lv-LV"/>
        </w:rPr>
        <w:t>oliņām.</w:t>
      </w:r>
    </w:p>
    <w:p w14:paraId="6B8900D2" w14:textId="77777777" w:rsidR="00AC0C78" w:rsidRPr="008D01C1" w:rsidRDefault="00AC0C78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F16F34" w14:textId="77777777" w:rsidR="00AC0C78" w:rsidRPr="008D01C1" w:rsidRDefault="00AC0C78" w:rsidP="00EF0F41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D01C1">
        <w:rPr>
          <w:b/>
          <w:szCs w:val="22"/>
        </w:rPr>
        <w:t>5.2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Farmakokinētiskie dati</w:t>
      </w:r>
      <w:r w:rsidRPr="008D01C1">
        <w:rPr>
          <w:b/>
          <w:szCs w:val="22"/>
        </w:rPr>
        <w:t xml:space="preserve"> </w:t>
      </w:r>
    </w:p>
    <w:p w14:paraId="2643DB8F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4AC33D" w14:textId="4004DD29" w:rsidR="00AC0C78" w:rsidRPr="008D01C1" w:rsidRDefault="00AC0C78" w:rsidP="0048201A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 xml:space="preserve">Pēc </w:t>
      </w:r>
      <w:r w:rsidR="002A5FE8">
        <w:rPr>
          <w:szCs w:val="22"/>
          <w:lang w:val="lv-LV"/>
        </w:rPr>
        <w:t>zāļu</w:t>
      </w:r>
      <w:r w:rsidRPr="008D01C1">
        <w:rPr>
          <w:szCs w:val="22"/>
          <w:lang w:val="lv-LV"/>
        </w:rPr>
        <w:t xml:space="preserve"> ārīgas lietošanas suņiem </w:t>
      </w:r>
      <w:r w:rsidR="00857584" w:rsidRPr="00843406">
        <w:rPr>
          <w:szCs w:val="22"/>
          <w:lang w:val="lv-LV"/>
        </w:rPr>
        <w:t xml:space="preserve">parastos </w:t>
      </w:r>
      <w:r w:rsidRPr="008D01C1">
        <w:rPr>
          <w:szCs w:val="22"/>
          <w:lang w:val="lv-LV"/>
        </w:rPr>
        <w:t xml:space="preserve">lietošanas apstākļos fipronils un piriproksifēns labi izplatās suņa </w:t>
      </w:r>
      <w:r w:rsidR="002A5FE8">
        <w:rPr>
          <w:szCs w:val="22"/>
          <w:lang w:val="lv-LV"/>
        </w:rPr>
        <w:t>apmatojumā</w:t>
      </w:r>
      <w:r w:rsidRPr="008D01C1">
        <w:rPr>
          <w:szCs w:val="22"/>
          <w:lang w:val="lv-LV"/>
        </w:rPr>
        <w:t xml:space="preserve"> 24 stundu laikā.</w:t>
      </w:r>
    </w:p>
    <w:p w14:paraId="1330ADD1" w14:textId="77777777" w:rsidR="00AC0C78" w:rsidRPr="008D01C1" w:rsidRDefault="00AC0C78" w:rsidP="0048201A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Fipronil</w:t>
      </w:r>
      <w:r w:rsidR="00857584">
        <w:rPr>
          <w:szCs w:val="22"/>
          <w:lang w:val="lv-LV"/>
        </w:rPr>
        <w:t>a</w:t>
      </w:r>
      <w:r w:rsidRPr="008D01C1">
        <w:rPr>
          <w:szCs w:val="22"/>
          <w:lang w:val="lv-LV"/>
        </w:rPr>
        <w:t xml:space="preserve"> galvenais metabolīts ir sulfona atvasinājums, kam arī piemīt insekticīdas un akaricīdas īpašības.</w:t>
      </w:r>
      <w:r w:rsidRPr="008D01C1">
        <w:rPr>
          <w:szCs w:val="22"/>
        </w:rPr>
        <w:t xml:space="preserve"> </w:t>
      </w:r>
    </w:p>
    <w:p w14:paraId="4D88D64F" w14:textId="15A54989" w:rsidR="00AC0C78" w:rsidRPr="008D01C1" w:rsidRDefault="00AC0C78" w:rsidP="0048201A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 xml:space="preserve">Fipronila, fipronila sulfona un piriproksifēna koncentrācija suņu </w:t>
      </w:r>
      <w:r w:rsidR="002A5FE8">
        <w:rPr>
          <w:szCs w:val="22"/>
          <w:lang w:val="lv-LV"/>
        </w:rPr>
        <w:t>apmatojumā</w:t>
      </w:r>
      <w:r w:rsidR="002A5FE8" w:rsidRPr="008D01C1" w:rsidDel="002A5FE8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 xml:space="preserve">laika gaitā samazinās, taču joprojām ir konstatējama arī 84 dienas pēc </w:t>
      </w:r>
      <w:r w:rsidR="00F125ED">
        <w:rPr>
          <w:szCs w:val="22"/>
          <w:lang w:val="lv-LV"/>
        </w:rPr>
        <w:t>aplicēšanas</w:t>
      </w:r>
      <w:r w:rsidRPr="008D01C1">
        <w:rPr>
          <w:szCs w:val="22"/>
          <w:lang w:val="lv-LV"/>
        </w:rPr>
        <w:t>.</w:t>
      </w:r>
    </w:p>
    <w:p w14:paraId="1592750F" w14:textId="72B5C443" w:rsidR="00AC0C78" w:rsidRPr="008D01C1" w:rsidRDefault="00AC0C78" w:rsidP="0048201A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 xml:space="preserve">Fipronila maksimālā koncentrācija plazmā tiek sasniegta 3 </w:t>
      </w:r>
      <w:r w:rsidR="00F125ED">
        <w:rPr>
          <w:szCs w:val="22"/>
          <w:lang w:val="lv-LV"/>
        </w:rPr>
        <w:t>-</w:t>
      </w:r>
      <w:r w:rsidR="00F125ED" w:rsidRPr="008D01C1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 xml:space="preserve">7 </w:t>
      </w:r>
      <w:r w:rsidR="00F125ED" w:rsidRPr="00843406">
        <w:rPr>
          <w:szCs w:val="22"/>
          <w:lang w:val="lv-LV"/>
        </w:rPr>
        <w:t>dien</w:t>
      </w:r>
      <w:r w:rsidR="00F125ED">
        <w:rPr>
          <w:szCs w:val="22"/>
          <w:lang w:val="lv-LV"/>
        </w:rPr>
        <w:t>ās</w:t>
      </w:r>
      <w:r w:rsidRPr="008D01C1">
        <w:rPr>
          <w:szCs w:val="22"/>
          <w:lang w:val="lv-LV"/>
        </w:rPr>
        <w:t xml:space="preserve"> pēc šo zāļu lietošanas, un fipronila sulfona maksimālā koncentrācija plazmā tiek sasniegta 7 </w:t>
      </w:r>
      <w:r w:rsidR="00F125ED">
        <w:rPr>
          <w:szCs w:val="22"/>
          <w:lang w:val="lv-LV"/>
        </w:rPr>
        <w:t>-</w:t>
      </w:r>
      <w:r w:rsidR="00F125ED" w:rsidRPr="008D01C1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 xml:space="preserve">14 </w:t>
      </w:r>
      <w:r w:rsidR="00F125ED" w:rsidRPr="00843406">
        <w:rPr>
          <w:szCs w:val="22"/>
          <w:lang w:val="lv-LV"/>
        </w:rPr>
        <w:t>dien</w:t>
      </w:r>
      <w:r w:rsidR="00F125ED">
        <w:rPr>
          <w:szCs w:val="22"/>
          <w:lang w:val="lv-LV"/>
        </w:rPr>
        <w:t>ās</w:t>
      </w:r>
      <w:r w:rsidRPr="008D01C1">
        <w:rPr>
          <w:szCs w:val="22"/>
          <w:lang w:val="lv-LV"/>
        </w:rPr>
        <w:t>.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 xml:space="preserve">Piriproksifēna maksimālā koncentrācija plazmā tiek sasniegta 1 </w:t>
      </w:r>
      <w:r w:rsidR="00F125ED">
        <w:rPr>
          <w:szCs w:val="22"/>
          <w:lang w:val="lv-LV"/>
        </w:rPr>
        <w:t>-</w:t>
      </w:r>
      <w:r w:rsidR="00F125ED" w:rsidRPr="008D01C1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 xml:space="preserve">3 </w:t>
      </w:r>
      <w:r w:rsidR="00F125ED" w:rsidRPr="00843406">
        <w:rPr>
          <w:szCs w:val="22"/>
          <w:lang w:val="lv-LV"/>
        </w:rPr>
        <w:t>dien</w:t>
      </w:r>
      <w:r w:rsidR="00F125ED">
        <w:rPr>
          <w:szCs w:val="22"/>
          <w:lang w:val="lv-LV"/>
        </w:rPr>
        <w:t>ās</w:t>
      </w:r>
      <w:r w:rsidRPr="008D01C1">
        <w:rPr>
          <w:szCs w:val="22"/>
          <w:lang w:val="lv-LV"/>
        </w:rPr>
        <w:t xml:space="preserve"> pēc </w:t>
      </w:r>
      <w:r w:rsidR="00F125ED">
        <w:rPr>
          <w:szCs w:val="22"/>
          <w:lang w:val="lv-LV"/>
        </w:rPr>
        <w:t>aplicēšanas</w:t>
      </w:r>
      <w:r w:rsidRPr="008D01C1">
        <w:rPr>
          <w:szCs w:val="22"/>
          <w:lang w:val="lv-LV"/>
        </w:rPr>
        <w:t>.</w:t>
      </w:r>
    </w:p>
    <w:p w14:paraId="2EA18A8E" w14:textId="77777777" w:rsidR="00AC0C78" w:rsidRPr="008D01C1" w:rsidRDefault="00AC0C78" w:rsidP="0048201A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Laika gaitā fipronila un piriproksifēna koncentrācija plazmā samazinās, bet to koncentrācija ir kvantitatīvi nosakāma līdz 50 dienām pēc lietošanas.</w:t>
      </w:r>
    </w:p>
    <w:p w14:paraId="064D35B8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1275EF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434476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6.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FARMACEITISKĀ INFORMĀCIJA</w:t>
      </w:r>
    </w:p>
    <w:p w14:paraId="25A65FA0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7AAF413B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D01C1">
        <w:rPr>
          <w:b/>
          <w:szCs w:val="22"/>
        </w:rPr>
        <w:t>6.1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Palīgvielu saraksts</w:t>
      </w:r>
    </w:p>
    <w:p w14:paraId="306678E8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393B83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Butilhidroksianizols E320</w:t>
      </w:r>
    </w:p>
    <w:p w14:paraId="3CAD0B9F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Butilhidroksitoluols E321</w:t>
      </w:r>
    </w:p>
    <w:p w14:paraId="55A3B657" w14:textId="77777777" w:rsidR="00AC0C78" w:rsidRPr="008D01C1" w:rsidRDefault="00AC0C78" w:rsidP="0048201A">
      <w:p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8D01C1">
        <w:rPr>
          <w:szCs w:val="22"/>
          <w:lang w:val="lv-LV"/>
        </w:rPr>
        <w:t>Dietilēnglikola monoetilēteris</w:t>
      </w:r>
    </w:p>
    <w:p w14:paraId="049710CF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6C8993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6.2</w:t>
      </w:r>
      <w:r w:rsidRPr="008D01C1">
        <w:rPr>
          <w:b/>
          <w:szCs w:val="22"/>
        </w:rPr>
        <w:tab/>
      </w:r>
      <w:r w:rsidR="0048201A">
        <w:rPr>
          <w:b/>
          <w:szCs w:val="22"/>
        </w:rPr>
        <w:t xml:space="preserve">Būtiska </w:t>
      </w:r>
      <w:r w:rsidR="0048201A">
        <w:rPr>
          <w:b/>
          <w:szCs w:val="22"/>
          <w:lang w:val="lv-LV"/>
        </w:rPr>
        <w:t>n</w:t>
      </w:r>
      <w:r w:rsidRPr="008D01C1">
        <w:rPr>
          <w:b/>
          <w:szCs w:val="22"/>
          <w:lang w:val="lv-LV"/>
        </w:rPr>
        <w:t>esaderība</w:t>
      </w:r>
    </w:p>
    <w:p w14:paraId="08E6A4F9" w14:textId="77777777" w:rsidR="00922335" w:rsidRDefault="00922335" w:rsidP="0048201A">
      <w:pPr>
        <w:tabs>
          <w:tab w:val="clear" w:pos="567"/>
        </w:tabs>
        <w:spacing w:line="240" w:lineRule="auto"/>
        <w:jc w:val="both"/>
        <w:rPr>
          <w:szCs w:val="22"/>
          <w:lang w:val="lv-LV"/>
        </w:rPr>
      </w:pPr>
    </w:p>
    <w:p w14:paraId="13538C66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Nav zināma.</w:t>
      </w:r>
    </w:p>
    <w:p w14:paraId="073DD16B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97975D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6.3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Derīguma termiņš</w:t>
      </w:r>
    </w:p>
    <w:p w14:paraId="7796AC0A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52F2FE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Veterināro zāļu derīguma termiņš izplatīšanai paredzētā iepakojumā:</w:t>
      </w:r>
      <w:r w:rsidRPr="008D01C1">
        <w:rPr>
          <w:szCs w:val="22"/>
        </w:rPr>
        <w:t xml:space="preserve"> </w:t>
      </w:r>
      <w:r w:rsidRPr="008D01C1">
        <w:rPr>
          <w:szCs w:val="22"/>
          <w:lang w:val="lv-LV"/>
        </w:rPr>
        <w:t>3 gadi.</w:t>
      </w:r>
    </w:p>
    <w:p w14:paraId="0B40E1C1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32156AB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6.4.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Īpaši uzglabāšanas nosacījumi</w:t>
      </w:r>
    </w:p>
    <w:p w14:paraId="4106C8BF" w14:textId="77777777" w:rsidR="00AC0C78" w:rsidRPr="008D01C1" w:rsidRDefault="00AC0C78" w:rsidP="0048201A">
      <w:pPr>
        <w:tabs>
          <w:tab w:val="clear" w:pos="567"/>
        </w:tabs>
        <w:spacing w:line="240" w:lineRule="auto"/>
        <w:ind w:right="-318"/>
        <w:jc w:val="both"/>
        <w:rPr>
          <w:noProof/>
          <w:szCs w:val="22"/>
          <w:highlight w:val="yellow"/>
          <w:lang w:val="lv-LV"/>
        </w:rPr>
      </w:pPr>
    </w:p>
    <w:p w14:paraId="3C500D12" w14:textId="77777777" w:rsidR="00AC0C78" w:rsidRPr="008D01C1" w:rsidRDefault="00AC0C78" w:rsidP="0048201A">
      <w:pPr>
        <w:jc w:val="both"/>
        <w:rPr>
          <w:szCs w:val="22"/>
        </w:rPr>
      </w:pPr>
      <w:r w:rsidRPr="008D01C1">
        <w:rPr>
          <w:szCs w:val="22"/>
          <w:lang w:val="lv-LV"/>
        </w:rPr>
        <w:t>Uzglabāt temperatūrā līdz 30</w:t>
      </w:r>
      <w:r w:rsidR="00F125ED">
        <w:rPr>
          <w:szCs w:val="22"/>
          <w:lang w:val="lv-LV"/>
        </w:rPr>
        <w:t xml:space="preserve"> </w:t>
      </w:r>
      <w:r w:rsidRPr="008D01C1">
        <w:rPr>
          <w:szCs w:val="22"/>
          <w:lang w:val="lv-LV"/>
        </w:rPr>
        <w:t>°C.</w:t>
      </w:r>
    </w:p>
    <w:p w14:paraId="66124287" w14:textId="77777777" w:rsidR="00AC0C78" w:rsidRPr="008D01C1" w:rsidRDefault="00AC0C78" w:rsidP="0048201A">
      <w:pPr>
        <w:jc w:val="both"/>
        <w:rPr>
          <w:szCs w:val="22"/>
        </w:rPr>
      </w:pPr>
      <w:r w:rsidRPr="008D01C1">
        <w:rPr>
          <w:szCs w:val="22"/>
          <w:lang w:val="lv-LV"/>
        </w:rPr>
        <w:t>Uzglabāt sausā vietā.</w:t>
      </w:r>
    </w:p>
    <w:p w14:paraId="658F30D3" w14:textId="77777777" w:rsidR="00AC0C78" w:rsidRPr="008D01C1" w:rsidRDefault="00AC0C78" w:rsidP="0048201A">
      <w:pPr>
        <w:jc w:val="both"/>
        <w:rPr>
          <w:szCs w:val="22"/>
        </w:rPr>
      </w:pPr>
      <w:r w:rsidRPr="008D01C1">
        <w:rPr>
          <w:szCs w:val="22"/>
          <w:lang w:val="lv-LV"/>
        </w:rPr>
        <w:t>Uzglabāt blister</w:t>
      </w:r>
      <w:r w:rsidR="00F125ED">
        <w:rPr>
          <w:szCs w:val="22"/>
          <w:lang w:val="lv-LV"/>
        </w:rPr>
        <w:t xml:space="preserve">a </w:t>
      </w:r>
      <w:r w:rsidRPr="008D01C1">
        <w:rPr>
          <w:szCs w:val="22"/>
          <w:lang w:val="lv-LV"/>
        </w:rPr>
        <w:t>iepakojumu ārējā iepakojumā, lai pasargātu no gaismas.</w:t>
      </w:r>
    </w:p>
    <w:p w14:paraId="4150EB30" w14:textId="77777777" w:rsidR="00AC0C78" w:rsidRPr="008D01C1" w:rsidRDefault="00AC0C78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5B76CA" w14:textId="77777777" w:rsidR="00AC0C78" w:rsidRPr="008D01C1" w:rsidRDefault="00AC0C78" w:rsidP="00EF0F41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6.5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Tiešā iepakojuma veids un saturs</w:t>
      </w:r>
    </w:p>
    <w:p w14:paraId="47E901DE" w14:textId="77777777" w:rsidR="00AC0C78" w:rsidRPr="008D01C1" w:rsidRDefault="00AC0C78" w:rsidP="00EF0F41">
      <w:pPr>
        <w:pStyle w:val="BodyText"/>
        <w:tabs>
          <w:tab w:val="left" w:pos="567"/>
        </w:tabs>
        <w:spacing w:line="240" w:lineRule="atLeast"/>
        <w:rPr>
          <w:szCs w:val="22"/>
        </w:rPr>
      </w:pPr>
    </w:p>
    <w:p w14:paraId="50F97D5C" w14:textId="3995BE8B" w:rsidR="00AC0C78" w:rsidRPr="008D01C1" w:rsidRDefault="00AC0C78" w:rsidP="0048201A">
      <w:pPr>
        <w:pStyle w:val="BodyText"/>
        <w:tabs>
          <w:tab w:val="left" w:pos="567"/>
        </w:tabs>
        <w:spacing w:line="240" w:lineRule="atLeast"/>
        <w:rPr>
          <w:szCs w:val="22"/>
        </w:rPr>
      </w:pPr>
      <w:r w:rsidRPr="008D01C1">
        <w:rPr>
          <w:szCs w:val="22"/>
          <w:lang w:val="lv-LV"/>
        </w:rPr>
        <w:lastRenderedPageBreak/>
        <w:t xml:space="preserve">Caurspīdīgas vairākslāņu plastmasas pipetes ar vienu 4,02 ml zāļu devu, izgatavotas </w:t>
      </w:r>
      <w:r w:rsidR="00F125ED" w:rsidRPr="00843406">
        <w:rPr>
          <w:szCs w:val="22"/>
          <w:lang w:val="lv-LV"/>
        </w:rPr>
        <w:t>termoformē</w:t>
      </w:r>
      <w:r w:rsidR="00F125ED">
        <w:rPr>
          <w:szCs w:val="22"/>
          <w:lang w:val="lv-LV"/>
        </w:rPr>
        <w:t>jot</w:t>
      </w:r>
      <w:r w:rsidRPr="008D01C1">
        <w:rPr>
          <w:szCs w:val="22"/>
          <w:lang w:val="lv-LV"/>
        </w:rPr>
        <w:t xml:space="preserve"> caurspīdīgu pamatnes kompleksu (poliakrilonitrila metakrilāts</w:t>
      </w:r>
      <w:r w:rsidR="004B379F">
        <w:rPr>
          <w:szCs w:val="22"/>
          <w:lang w:val="lv-LV"/>
        </w:rPr>
        <w:t xml:space="preserve"> </w:t>
      </w:r>
      <w:r w:rsidR="004B379F">
        <w:t>vai polietilēna-etilēnvinilspirta-polietilēn</w:t>
      </w:r>
      <w:r w:rsidR="00857584">
        <w:t>s</w:t>
      </w:r>
      <w:r w:rsidRPr="008D01C1">
        <w:rPr>
          <w:szCs w:val="22"/>
          <w:lang w:val="lv-LV"/>
        </w:rPr>
        <w:t xml:space="preserve">, </w:t>
      </w:r>
      <w:r w:rsidR="00F125ED">
        <w:rPr>
          <w:szCs w:val="22"/>
          <w:lang w:val="lv-LV"/>
        </w:rPr>
        <w:t xml:space="preserve">polipropilēns, </w:t>
      </w:r>
      <w:r w:rsidRPr="008D01C1">
        <w:rPr>
          <w:szCs w:val="22"/>
          <w:lang w:val="lv-LV"/>
        </w:rPr>
        <w:t xml:space="preserve">ciklisks olefīna kopolimērs, polipropilēns) un </w:t>
      </w:r>
      <w:r w:rsidR="00F125ED">
        <w:rPr>
          <w:szCs w:val="22"/>
          <w:lang w:val="lv-LV"/>
        </w:rPr>
        <w:t xml:space="preserve">termiski </w:t>
      </w:r>
      <w:r w:rsidR="00F125ED" w:rsidRPr="00BC0D46">
        <w:rPr>
          <w:szCs w:val="22"/>
          <w:lang w:val="lv-LV"/>
        </w:rPr>
        <w:t>noslē</w:t>
      </w:r>
      <w:r w:rsidR="00F125ED">
        <w:rPr>
          <w:szCs w:val="22"/>
          <w:lang w:val="lv-LV"/>
        </w:rPr>
        <w:t>gts</w:t>
      </w:r>
      <w:r w:rsidR="00F125ED" w:rsidRPr="00BC0D46">
        <w:rPr>
          <w:szCs w:val="22"/>
          <w:lang w:val="lv-LV"/>
        </w:rPr>
        <w:t xml:space="preserve"> </w:t>
      </w:r>
      <w:r w:rsidR="00F125ED" w:rsidRPr="00843406">
        <w:rPr>
          <w:szCs w:val="22"/>
          <w:lang w:val="lv-LV"/>
        </w:rPr>
        <w:t>ar</w:t>
      </w:r>
      <w:r w:rsidRPr="008D01C1">
        <w:rPr>
          <w:szCs w:val="22"/>
          <w:lang w:val="lv-LV"/>
        </w:rPr>
        <w:t xml:space="preserve"> vāciņa kompleksu (poliakrilnitrila metakrilāts</w:t>
      </w:r>
      <w:r w:rsidR="004B379F">
        <w:rPr>
          <w:szCs w:val="22"/>
          <w:lang w:val="lv-LV"/>
        </w:rPr>
        <w:t xml:space="preserve"> </w:t>
      </w:r>
      <w:r w:rsidR="004B379F">
        <w:t>vai polietilēna-etilēnvinilspirta-polietilēn</w:t>
      </w:r>
      <w:r w:rsidR="00F125ED">
        <w:t>s</w:t>
      </w:r>
      <w:r w:rsidRPr="008D01C1">
        <w:rPr>
          <w:szCs w:val="22"/>
          <w:lang w:val="lv-LV"/>
        </w:rPr>
        <w:t>, alumīnijs, polietilēna tereftalāts).</w:t>
      </w:r>
      <w:r w:rsidRPr="008D01C1">
        <w:rPr>
          <w:szCs w:val="22"/>
        </w:rPr>
        <w:t xml:space="preserve"> </w:t>
      </w:r>
    </w:p>
    <w:p w14:paraId="0E4B18DA" w14:textId="77777777" w:rsidR="00AC0C78" w:rsidRPr="008D01C1" w:rsidRDefault="00AC0C78" w:rsidP="0048201A">
      <w:pPr>
        <w:pStyle w:val="BodyText"/>
        <w:tabs>
          <w:tab w:val="left" w:pos="567"/>
        </w:tabs>
        <w:spacing w:line="240" w:lineRule="atLeast"/>
        <w:rPr>
          <w:szCs w:val="22"/>
        </w:rPr>
      </w:pPr>
    </w:p>
    <w:p w14:paraId="72052248" w14:textId="77777777" w:rsidR="00AC0C78" w:rsidRPr="008D01C1" w:rsidRDefault="00AC0C78" w:rsidP="0048201A">
      <w:pPr>
        <w:pStyle w:val="BodyText"/>
        <w:tabs>
          <w:tab w:val="left" w:pos="567"/>
        </w:tabs>
        <w:spacing w:line="240" w:lineRule="atLeast"/>
        <w:rPr>
          <w:szCs w:val="22"/>
        </w:rPr>
      </w:pPr>
      <w:r w:rsidRPr="008D01C1">
        <w:rPr>
          <w:szCs w:val="22"/>
          <w:lang w:val="lv-LV"/>
        </w:rPr>
        <w:t>Kastītēs atrodas atsevišķa(-s) pipete(-s), kas i</w:t>
      </w:r>
      <w:r w:rsidR="00AA1345" w:rsidRPr="008D01C1">
        <w:rPr>
          <w:szCs w:val="22"/>
          <w:lang w:val="lv-LV"/>
        </w:rPr>
        <w:t>evietota</w:t>
      </w:r>
      <w:r w:rsidR="00F125ED">
        <w:rPr>
          <w:szCs w:val="22"/>
          <w:lang w:val="lv-LV"/>
        </w:rPr>
        <w:t>(-</w:t>
      </w:r>
      <w:r w:rsidR="00AA1345" w:rsidRPr="008D01C1">
        <w:rPr>
          <w:szCs w:val="22"/>
          <w:lang w:val="lv-LV"/>
        </w:rPr>
        <w:t>s</w:t>
      </w:r>
      <w:r w:rsidR="00F125ED">
        <w:rPr>
          <w:szCs w:val="22"/>
          <w:lang w:val="lv-LV"/>
        </w:rPr>
        <w:t>)</w:t>
      </w:r>
      <w:r w:rsidR="00AA1345" w:rsidRPr="008D01C1">
        <w:rPr>
          <w:szCs w:val="22"/>
          <w:lang w:val="lv-LV"/>
        </w:rPr>
        <w:t xml:space="preserve"> ārējā(-os)</w:t>
      </w:r>
      <w:r w:rsidRPr="008D01C1">
        <w:rPr>
          <w:szCs w:val="22"/>
          <w:lang w:val="lv-LV"/>
        </w:rPr>
        <w:t xml:space="preserve"> blister</w:t>
      </w:r>
      <w:r w:rsidR="00F125ED">
        <w:rPr>
          <w:szCs w:val="22"/>
          <w:lang w:val="lv-LV"/>
        </w:rPr>
        <w:t xml:space="preserve">a </w:t>
      </w:r>
      <w:r w:rsidRPr="008D01C1">
        <w:rPr>
          <w:szCs w:val="22"/>
          <w:lang w:val="lv-LV"/>
        </w:rPr>
        <w:t>iepakojumā(-os), kas izgatavot</w:t>
      </w:r>
      <w:r w:rsidR="00F125ED">
        <w:rPr>
          <w:szCs w:val="22"/>
          <w:lang w:val="lv-LV"/>
        </w:rPr>
        <w:t>s(-</w:t>
      </w:r>
      <w:r w:rsidRPr="008D01C1">
        <w:rPr>
          <w:szCs w:val="22"/>
          <w:lang w:val="lv-LV"/>
        </w:rPr>
        <w:t>i</w:t>
      </w:r>
      <w:r w:rsidR="00F125ED">
        <w:rPr>
          <w:szCs w:val="22"/>
          <w:lang w:val="lv-LV"/>
        </w:rPr>
        <w:t>)</w:t>
      </w:r>
      <w:r w:rsidRPr="008D01C1">
        <w:rPr>
          <w:szCs w:val="22"/>
          <w:lang w:val="lv-LV"/>
        </w:rPr>
        <w:t xml:space="preserve"> no polipropilēna, cikliska olefīna kopolimēra, polipropilēna un noslēg</w:t>
      </w:r>
      <w:r w:rsidR="00F125ED">
        <w:rPr>
          <w:szCs w:val="22"/>
          <w:lang w:val="lv-LV"/>
        </w:rPr>
        <w:t>t</w:t>
      </w:r>
      <w:r w:rsidRPr="008D01C1">
        <w:rPr>
          <w:szCs w:val="22"/>
          <w:lang w:val="lv-LV"/>
        </w:rPr>
        <w:t>s(-i) var vāciņu, kas izgatavots</w:t>
      </w:r>
      <w:r w:rsidR="00F125ED">
        <w:rPr>
          <w:szCs w:val="22"/>
          <w:lang w:val="lv-LV"/>
        </w:rPr>
        <w:t>(-i)</w:t>
      </w:r>
      <w:r w:rsidRPr="008D01C1">
        <w:rPr>
          <w:szCs w:val="22"/>
          <w:lang w:val="lv-LV"/>
        </w:rPr>
        <w:t xml:space="preserve"> no polietilēna-tereftalāta, alumīnija, polipropilēna.</w:t>
      </w:r>
    </w:p>
    <w:p w14:paraId="4A01221C" w14:textId="77777777" w:rsidR="00AC0C78" w:rsidRPr="008D01C1" w:rsidRDefault="00AC0C78" w:rsidP="0048201A">
      <w:pPr>
        <w:pStyle w:val="BodyText"/>
        <w:tabs>
          <w:tab w:val="left" w:pos="567"/>
        </w:tabs>
        <w:spacing w:line="240" w:lineRule="atLeast"/>
        <w:rPr>
          <w:szCs w:val="22"/>
        </w:rPr>
      </w:pPr>
    </w:p>
    <w:p w14:paraId="2886730D" w14:textId="40BBB0BD" w:rsidR="00B92843" w:rsidRPr="00843406" w:rsidRDefault="00AC0C78" w:rsidP="0048201A">
      <w:pPr>
        <w:pStyle w:val="BodyText"/>
        <w:tabs>
          <w:tab w:val="left" w:pos="567"/>
        </w:tabs>
        <w:spacing w:line="240" w:lineRule="atLeast"/>
        <w:rPr>
          <w:szCs w:val="22"/>
        </w:rPr>
      </w:pPr>
      <w:r w:rsidRPr="008D01C1">
        <w:rPr>
          <w:szCs w:val="22"/>
          <w:lang w:val="lv-LV"/>
        </w:rPr>
        <w:t xml:space="preserve">Kastītes ar 1, 4, 24 vai 60 pipetēm </w:t>
      </w:r>
      <w:r w:rsidRPr="002A5FE8">
        <w:rPr>
          <w:szCs w:val="22"/>
          <w:lang w:val="lv-LV"/>
        </w:rPr>
        <w:t xml:space="preserve">(lielajās kastītēs ir </w:t>
      </w:r>
      <w:r w:rsidR="002A5FE8">
        <w:rPr>
          <w:szCs w:val="22"/>
          <w:lang w:val="lv-LV"/>
        </w:rPr>
        <w:t>paciņas</w:t>
      </w:r>
      <w:r w:rsidRPr="002A5FE8">
        <w:rPr>
          <w:szCs w:val="22"/>
          <w:lang w:val="lv-LV"/>
        </w:rPr>
        <w:t xml:space="preserve">, kas paredzētas </w:t>
      </w:r>
      <w:r w:rsidR="00B92843" w:rsidRPr="002A5FE8">
        <w:rPr>
          <w:szCs w:val="22"/>
          <w:lang w:val="lv-LV"/>
        </w:rPr>
        <w:t xml:space="preserve">mazāka </w:t>
      </w:r>
      <w:r w:rsidRPr="002A5FE8">
        <w:rPr>
          <w:szCs w:val="22"/>
          <w:lang w:val="lv-LV"/>
        </w:rPr>
        <w:t xml:space="preserve">pipešu </w:t>
      </w:r>
      <w:r w:rsidR="00B92843" w:rsidRPr="002A5FE8">
        <w:rPr>
          <w:szCs w:val="22"/>
          <w:lang w:val="lv-LV"/>
        </w:rPr>
        <w:t xml:space="preserve">skaita </w:t>
      </w:r>
      <w:r w:rsidRPr="002A5FE8">
        <w:rPr>
          <w:szCs w:val="22"/>
          <w:lang w:val="lv-LV"/>
        </w:rPr>
        <w:t>izsniegšanai).</w:t>
      </w:r>
      <w:r w:rsidR="00B92843" w:rsidRPr="002A5FE8">
        <w:rPr>
          <w:szCs w:val="22"/>
          <w:lang w:val="lv-LV"/>
        </w:rPr>
        <w:t xml:space="preserve"> </w:t>
      </w:r>
    </w:p>
    <w:p w14:paraId="48F87C42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7FC3D533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szCs w:val="22"/>
          <w:lang w:val="lv-LV"/>
        </w:rPr>
        <w:t>Ne visi iepakojuma izmēri var tikt izplatīti.</w:t>
      </w:r>
    </w:p>
    <w:p w14:paraId="16D714F1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4B2E80" w14:textId="7B781F1E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8D01C1">
        <w:rPr>
          <w:b/>
          <w:szCs w:val="22"/>
        </w:rPr>
        <w:t>6.6</w:t>
      </w:r>
      <w:r w:rsidRPr="008D01C1">
        <w:rPr>
          <w:szCs w:val="22"/>
        </w:rPr>
        <w:tab/>
      </w:r>
      <w:r w:rsidRPr="008D01C1">
        <w:rPr>
          <w:b/>
          <w:szCs w:val="22"/>
          <w:lang w:val="lv-LV"/>
        </w:rPr>
        <w:t>Īpaši norādījumi neizlietot</w:t>
      </w:r>
      <w:r w:rsidR="00F125ED">
        <w:rPr>
          <w:b/>
          <w:szCs w:val="22"/>
          <w:lang w:val="lv-LV"/>
        </w:rPr>
        <w:t>u</w:t>
      </w:r>
      <w:r w:rsidRPr="008D01C1">
        <w:rPr>
          <w:b/>
          <w:szCs w:val="22"/>
          <w:lang w:val="lv-LV"/>
        </w:rPr>
        <w:t xml:space="preserve"> veterināro zāļu vai to atkritumu iznīcināšanai</w:t>
      </w:r>
    </w:p>
    <w:p w14:paraId="6343D33E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3C0BDD32" w14:textId="4A4EC7A5" w:rsidR="00AC0C78" w:rsidRPr="008D01C1" w:rsidRDefault="008D01C1" w:rsidP="0048201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2652D3">
        <w:rPr>
          <w:color w:val="000000"/>
          <w:lang w:val="lv-LV"/>
        </w:rPr>
        <w:t>Jebkuras neizlietot</w:t>
      </w:r>
      <w:r w:rsidR="00F125ED">
        <w:rPr>
          <w:color w:val="000000"/>
          <w:lang w:val="lv-LV"/>
        </w:rPr>
        <w:t>a</w:t>
      </w:r>
      <w:r w:rsidRPr="002652D3">
        <w:rPr>
          <w:color w:val="000000"/>
          <w:lang w:val="lv-LV"/>
        </w:rPr>
        <w:t>s veterinārās zāles vai to atkritumi jāiznīcina saskaņā ar nacionālajiem tiesību aktiem</w:t>
      </w:r>
      <w:r w:rsidR="00AC0C78" w:rsidRPr="008D01C1">
        <w:rPr>
          <w:szCs w:val="22"/>
          <w:lang w:val="lv-LV"/>
        </w:rPr>
        <w:t>.</w:t>
      </w:r>
    </w:p>
    <w:p w14:paraId="2E31A1AE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1453DF" w14:textId="4B4DE79F" w:rsidR="001225A2" w:rsidRDefault="001225A2" w:rsidP="0048201A">
      <w:pPr>
        <w:tabs>
          <w:tab w:val="clear" w:pos="567"/>
          <w:tab w:val="left" w:pos="720"/>
        </w:tabs>
        <w:spacing w:line="240" w:lineRule="auto"/>
        <w:jc w:val="both"/>
        <w:rPr>
          <w:i/>
          <w:snapToGrid/>
          <w:szCs w:val="22"/>
          <w:lang w:val="lv-LV"/>
        </w:rPr>
      </w:pPr>
      <w:r>
        <w:rPr>
          <w:szCs w:val="22"/>
          <w:lang w:val="lv-LV"/>
        </w:rPr>
        <w:t>Šīs veterinārās zāles nedrīkst nonākt ūdenstilpēs, jo tas var apdraudēt zivis un citus ūdenī dzīvojošus organismus.</w:t>
      </w:r>
    </w:p>
    <w:p w14:paraId="43E26CAD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6FFA71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E7B9D6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D01C1">
        <w:rPr>
          <w:b/>
          <w:szCs w:val="22"/>
        </w:rPr>
        <w:t>7.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REĢISTRĀCIJAS APLIECĪBAS ĪPAŠNIEKS</w:t>
      </w:r>
    </w:p>
    <w:p w14:paraId="4ED11916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46BC52BC" w14:textId="77777777" w:rsidR="00AC0C78" w:rsidRPr="008D01C1" w:rsidRDefault="00AC0C78" w:rsidP="0048201A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8D01C1">
        <w:rPr>
          <w:szCs w:val="22"/>
          <w:lang w:val="lv-LV"/>
        </w:rPr>
        <w:t>VIRBAC</w:t>
      </w:r>
    </w:p>
    <w:p w14:paraId="41BEC5CC" w14:textId="28C3CD6F" w:rsidR="00AC0C78" w:rsidRPr="008D01C1" w:rsidRDefault="00AC0C78" w:rsidP="0048201A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8D01C1">
        <w:rPr>
          <w:szCs w:val="22"/>
          <w:lang w:val="lv-LV"/>
        </w:rPr>
        <w:t>1</w:t>
      </w:r>
      <w:r w:rsidRPr="0075459B">
        <w:rPr>
          <w:szCs w:val="22"/>
          <w:vertAlign w:val="superscript"/>
          <w:lang w:val="lv-LV"/>
        </w:rPr>
        <w:t>ère</w:t>
      </w:r>
      <w:r w:rsidRPr="008D01C1">
        <w:rPr>
          <w:szCs w:val="22"/>
          <w:lang w:val="lv-LV"/>
        </w:rPr>
        <w:t xml:space="preserve"> avenue – 2065m – LID</w:t>
      </w:r>
    </w:p>
    <w:p w14:paraId="4EB6F23C" w14:textId="77777777" w:rsidR="00AC0C78" w:rsidRPr="008D01C1" w:rsidRDefault="00AC0C78" w:rsidP="0048201A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8D01C1">
        <w:rPr>
          <w:szCs w:val="22"/>
          <w:lang w:val="lv-LV"/>
        </w:rPr>
        <w:t>06516 Carros</w:t>
      </w:r>
    </w:p>
    <w:p w14:paraId="5B77BA71" w14:textId="77777777" w:rsidR="00AC0C78" w:rsidRPr="008D01C1" w:rsidRDefault="00AC0C78" w:rsidP="0048201A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8D01C1">
        <w:rPr>
          <w:szCs w:val="22"/>
          <w:lang w:val="lv-LV"/>
        </w:rPr>
        <w:t>Francija</w:t>
      </w:r>
    </w:p>
    <w:p w14:paraId="1B38684E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063759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864852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8.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REĢISTRĀCIJAS APLIECĪBAS NUMURS(-I)</w:t>
      </w:r>
    </w:p>
    <w:p w14:paraId="4D913659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DED5E3" w14:textId="77777777" w:rsidR="00F651AE" w:rsidRPr="00F651AE" w:rsidRDefault="00F651AE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651AE">
        <w:rPr>
          <w:szCs w:val="22"/>
        </w:rPr>
        <w:t>V/DCP/15/0031</w:t>
      </w:r>
    </w:p>
    <w:p w14:paraId="3DC05256" w14:textId="77777777" w:rsidR="00AC0C78" w:rsidRDefault="00AC0C78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238429" w14:textId="77777777" w:rsidR="00F651AE" w:rsidRPr="008D01C1" w:rsidRDefault="00F651AE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B91E758" w14:textId="77777777" w:rsidR="00AC0C78" w:rsidRPr="008D01C1" w:rsidRDefault="00AC0C78" w:rsidP="00EF0F41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D01C1">
        <w:rPr>
          <w:b/>
          <w:szCs w:val="22"/>
        </w:rPr>
        <w:t>9.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REĢISTRĀCIJAS /PĀRREĢISTRĀCIJAS DATUMS</w:t>
      </w:r>
    </w:p>
    <w:p w14:paraId="5764FBA0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160F40" w14:textId="77777777" w:rsidR="00AC0C78" w:rsidRDefault="008D01C1" w:rsidP="0048201A">
      <w:pPr>
        <w:tabs>
          <w:tab w:val="clear" w:pos="567"/>
        </w:tabs>
        <w:spacing w:line="240" w:lineRule="auto"/>
        <w:jc w:val="both"/>
        <w:rPr>
          <w:lang w:val="lv-LV"/>
        </w:rPr>
      </w:pPr>
      <w:r w:rsidRPr="002652D3">
        <w:rPr>
          <w:lang w:val="lv-LV"/>
        </w:rPr>
        <w:t>Pirmās reģistrācijas datums</w:t>
      </w:r>
      <w:r>
        <w:rPr>
          <w:lang w:val="lv-LV"/>
        </w:rPr>
        <w:t>:</w:t>
      </w:r>
      <w:r w:rsidR="00F651AE">
        <w:rPr>
          <w:lang w:val="lv-LV"/>
        </w:rPr>
        <w:t xml:space="preserve"> 04/08/2015</w:t>
      </w:r>
    </w:p>
    <w:p w14:paraId="6153FA31" w14:textId="77777777" w:rsidR="008D01C1" w:rsidRDefault="00922335" w:rsidP="0048201A">
      <w:pPr>
        <w:tabs>
          <w:tab w:val="clear" w:pos="567"/>
        </w:tabs>
        <w:spacing w:line="240" w:lineRule="auto"/>
        <w:jc w:val="both"/>
        <w:rPr>
          <w:color w:val="000000"/>
          <w:lang w:val="lv-LV"/>
        </w:rPr>
      </w:pPr>
      <w:r w:rsidRPr="002652D3">
        <w:rPr>
          <w:color w:val="000000"/>
          <w:lang w:val="lv-LV"/>
        </w:rPr>
        <w:t>Pēdējās pārreģistrācijas datums</w:t>
      </w:r>
      <w:r>
        <w:rPr>
          <w:color w:val="000000"/>
          <w:lang w:val="lv-LV"/>
        </w:rPr>
        <w:t>:</w:t>
      </w:r>
      <w:r w:rsidR="007F2F38">
        <w:rPr>
          <w:color w:val="000000"/>
          <w:lang w:val="lv-LV"/>
        </w:rPr>
        <w:t xml:space="preserve"> </w:t>
      </w:r>
      <w:bookmarkStart w:id="6" w:name="_Hlk46999825"/>
      <w:r w:rsidR="007F2F38">
        <w:rPr>
          <w:color w:val="000000"/>
          <w:lang w:val="lv-LV"/>
        </w:rPr>
        <w:t>29/07/2020</w:t>
      </w:r>
      <w:bookmarkEnd w:id="6"/>
    </w:p>
    <w:p w14:paraId="6DB211E0" w14:textId="77777777" w:rsidR="00922335" w:rsidRDefault="00922335" w:rsidP="0048201A">
      <w:pPr>
        <w:tabs>
          <w:tab w:val="clear" w:pos="567"/>
        </w:tabs>
        <w:spacing w:line="240" w:lineRule="auto"/>
        <w:jc w:val="both"/>
        <w:rPr>
          <w:lang w:val="lv-LV"/>
        </w:rPr>
      </w:pPr>
    </w:p>
    <w:p w14:paraId="6364A3AD" w14:textId="77777777" w:rsidR="008D01C1" w:rsidRPr="008D01C1" w:rsidRDefault="008D01C1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E813DE" w14:textId="77777777" w:rsidR="00AC0C78" w:rsidRPr="008D01C1" w:rsidRDefault="00AC0C78" w:rsidP="0048201A">
      <w:pPr>
        <w:keepNext/>
        <w:keepLines/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8D01C1">
        <w:rPr>
          <w:b/>
          <w:szCs w:val="22"/>
        </w:rPr>
        <w:t>10</w:t>
      </w:r>
      <w:r w:rsidRPr="008D01C1">
        <w:rPr>
          <w:b/>
          <w:szCs w:val="22"/>
        </w:rPr>
        <w:tab/>
      </w:r>
      <w:r w:rsidRPr="008D01C1">
        <w:rPr>
          <w:b/>
          <w:szCs w:val="22"/>
          <w:lang w:val="lv-LV"/>
        </w:rPr>
        <w:t>TEKSTA PĒDĒJĀS PĀRSKATĪŠANAS DATUMS</w:t>
      </w:r>
    </w:p>
    <w:p w14:paraId="304EF455" w14:textId="77777777" w:rsidR="00F651AE" w:rsidRDefault="00F651AE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 </w:t>
      </w:r>
    </w:p>
    <w:p w14:paraId="60001BB2" w14:textId="64568C59" w:rsidR="00AC0C78" w:rsidRPr="008D01C1" w:rsidRDefault="007F2F38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bookmarkStart w:id="7" w:name="_Hlk46999830"/>
      <w:r>
        <w:rPr>
          <w:szCs w:val="22"/>
        </w:rPr>
        <w:t>07/2020</w:t>
      </w:r>
    </w:p>
    <w:bookmarkEnd w:id="7"/>
    <w:p w14:paraId="7F336C0E" w14:textId="77777777" w:rsidR="00AC0C78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C5409B" w14:textId="77777777" w:rsidR="00AE4054" w:rsidRDefault="00AE4054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4C6D54" w14:textId="77777777" w:rsidR="00B35190" w:rsidRPr="0084115E" w:rsidRDefault="00B35190" w:rsidP="0048201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84115E">
        <w:rPr>
          <w:rStyle w:val="Normal"/>
          <w:b/>
          <w:szCs w:val="22"/>
        </w:rPr>
        <w:t>RAŽOŠANAS, IEVEŠANAS, IZPLATĪŠANAS, TIRDZNIECĪBAS, PIEGĀDES UN/VAI LIETOŠANAS AIZLIEGUMS</w:t>
      </w:r>
    </w:p>
    <w:p w14:paraId="530ADC19" w14:textId="77777777" w:rsidR="00B35190" w:rsidRDefault="00B35190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2AA87D7" w14:textId="77777777" w:rsidR="00B35190" w:rsidRDefault="00B35190" w:rsidP="0048201A">
      <w:pPr>
        <w:tabs>
          <w:tab w:val="clear" w:pos="567"/>
        </w:tabs>
        <w:spacing w:line="240" w:lineRule="auto"/>
        <w:jc w:val="both"/>
        <w:rPr>
          <w:rStyle w:val="Normal"/>
          <w:szCs w:val="22"/>
        </w:rPr>
      </w:pPr>
      <w:r>
        <w:rPr>
          <w:szCs w:val="22"/>
        </w:rPr>
        <w:t>Bezrecepšu veterinārās zāles.</w:t>
      </w:r>
    </w:p>
    <w:p w14:paraId="432A3E5D" w14:textId="77777777" w:rsidR="00B35190" w:rsidRPr="008D01C1" w:rsidRDefault="00B35190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A747E8" w14:textId="77777777" w:rsidR="00AC0C78" w:rsidRPr="00AE4054" w:rsidRDefault="00AC0C78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7E6C1F" w14:textId="77777777" w:rsidR="00AC0C78" w:rsidRPr="008D01C1" w:rsidRDefault="00AC0C78" w:rsidP="00EF0F4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0696C2" w14:textId="77777777" w:rsidR="00AC0C78" w:rsidRPr="008D01C1" w:rsidRDefault="00AC0C78" w:rsidP="0048201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84FC52" w14:textId="77777777" w:rsidR="00AC0C78" w:rsidRPr="008D01C1" w:rsidRDefault="00AC0C78" w:rsidP="0075459B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AC0C78" w:rsidRPr="008D01C1" w:rsidSect="0048201A">
      <w:footerReference w:type="first" r:id="rId10"/>
      <w:endnotePr>
        <w:numFmt w:val="decimal"/>
      </w:endnotePr>
      <w:pgSz w:w="11907" w:h="16840" w:code="9"/>
      <w:pgMar w:top="1134" w:right="1418" w:bottom="1418" w:left="1134" w:header="737" w:footer="737" w:gutter="0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726A7" w14:textId="77777777" w:rsidR="006F5EA7" w:rsidRDefault="006F5EA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DB0AF62" w14:textId="77777777" w:rsidR="006F5EA7" w:rsidRDefault="006F5EA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6E76" w14:textId="77777777" w:rsidR="00AC0C78" w:rsidRDefault="00AC0C78">
    <w:pPr>
      <w:pStyle w:val="Footer"/>
      <w:tabs>
        <w:tab w:val="clear" w:pos="8930"/>
        <w:tab w:val="right" w:pos="8931"/>
      </w:tabs>
      <w:jc w:val="center"/>
      <w:rPr>
        <w:rFonts w:ascii="Times New Roman" w:hAnsi="Times New Roman"/>
        <w:szCs w:val="24"/>
        <w:lang w:val="el-GR"/>
      </w:rPr>
    </w:pPr>
    <w:r>
      <w:rPr>
        <w:szCs w:val="24"/>
      </w:rPr>
      <w:fldChar w:fldCharType="begin"/>
    </w:r>
    <w:r>
      <w:rPr>
        <w:szCs w:val="24"/>
      </w:rPr>
      <w:instrText xml:space="preserve"> PAGE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B01FD" w14:textId="77777777" w:rsidR="006F5EA7" w:rsidRDefault="006F5EA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1D24B2C5" w14:textId="77777777" w:rsidR="006F5EA7" w:rsidRDefault="006F5EA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9" w15:restartNumberingAfterBreak="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 w15:restartNumberingAfterBreak="0">
    <w:nsid w:val="5A3F65D8"/>
    <w:multiLevelType w:val="multilevel"/>
    <w:tmpl w:val="A02E932A"/>
    <w:numStyleLink w:val="BulletsAgency"/>
  </w:abstractNum>
  <w:abstractNum w:abstractNumId="25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 w15:restartNumberingAfterBreak="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00359"/>
    <w:rsid w:val="00001F97"/>
    <w:rsid w:val="00003EDB"/>
    <w:rsid w:val="000054D8"/>
    <w:rsid w:val="00007845"/>
    <w:rsid w:val="000118F5"/>
    <w:rsid w:val="00013A48"/>
    <w:rsid w:val="000155CB"/>
    <w:rsid w:val="0002301F"/>
    <w:rsid w:val="00024E21"/>
    <w:rsid w:val="000254A3"/>
    <w:rsid w:val="000256AA"/>
    <w:rsid w:val="0002579E"/>
    <w:rsid w:val="00030CD7"/>
    <w:rsid w:val="000338BA"/>
    <w:rsid w:val="00036C50"/>
    <w:rsid w:val="00042FF3"/>
    <w:rsid w:val="00051DF6"/>
    <w:rsid w:val="00052D2B"/>
    <w:rsid w:val="00054F55"/>
    <w:rsid w:val="000553F2"/>
    <w:rsid w:val="00057F48"/>
    <w:rsid w:val="00060FE3"/>
    <w:rsid w:val="0006131D"/>
    <w:rsid w:val="00062945"/>
    <w:rsid w:val="00062D2C"/>
    <w:rsid w:val="00066E48"/>
    <w:rsid w:val="00073450"/>
    <w:rsid w:val="000810C0"/>
    <w:rsid w:val="000810D2"/>
    <w:rsid w:val="00083852"/>
    <w:rsid w:val="00083B68"/>
    <w:rsid w:val="000860CE"/>
    <w:rsid w:val="00090B22"/>
    <w:rsid w:val="00090D76"/>
    <w:rsid w:val="00090E0E"/>
    <w:rsid w:val="000938A6"/>
    <w:rsid w:val="00095975"/>
    <w:rsid w:val="000A1DF5"/>
    <w:rsid w:val="000A5C21"/>
    <w:rsid w:val="000B7873"/>
    <w:rsid w:val="000B7BC4"/>
    <w:rsid w:val="000C1D4F"/>
    <w:rsid w:val="000C2470"/>
    <w:rsid w:val="000C37A1"/>
    <w:rsid w:val="000D1664"/>
    <w:rsid w:val="000D67D0"/>
    <w:rsid w:val="000E195C"/>
    <w:rsid w:val="000E3602"/>
    <w:rsid w:val="000E5154"/>
    <w:rsid w:val="000E6C55"/>
    <w:rsid w:val="000E7A44"/>
    <w:rsid w:val="000F38DA"/>
    <w:rsid w:val="000F5822"/>
    <w:rsid w:val="000F5DAD"/>
    <w:rsid w:val="000F764E"/>
    <w:rsid w:val="000F76A2"/>
    <w:rsid w:val="000F796B"/>
    <w:rsid w:val="0010031E"/>
    <w:rsid w:val="00100974"/>
    <w:rsid w:val="001012EB"/>
    <w:rsid w:val="0010225E"/>
    <w:rsid w:val="001078D1"/>
    <w:rsid w:val="001112B5"/>
    <w:rsid w:val="00112C53"/>
    <w:rsid w:val="001131BC"/>
    <w:rsid w:val="00115782"/>
    <w:rsid w:val="001225A2"/>
    <w:rsid w:val="00122EC9"/>
    <w:rsid w:val="001243F3"/>
    <w:rsid w:val="00124F36"/>
    <w:rsid w:val="00125C80"/>
    <w:rsid w:val="0012683E"/>
    <w:rsid w:val="00130621"/>
    <w:rsid w:val="00130682"/>
    <w:rsid w:val="00131EFF"/>
    <w:rsid w:val="00133572"/>
    <w:rsid w:val="001364D9"/>
    <w:rsid w:val="00140DF6"/>
    <w:rsid w:val="001452D0"/>
    <w:rsid w:val="0014586B"/>
    <w:rsid w:val="00145D34"/>
    <w:rsid w:val="00146284"/>
    <w:rsid w:val="0014690F"/>
    <w:rsid w:val="00156D5A"/>
    <w:rsid w:val="001635E3"/>
    <w:rsid w:val="001674D3"/>
    <w:rsid w:val="001743A9"/>
    <w:rsid w:val="00174F4E"/>
    <w:rsid w:val="001803D2"/>
    <w:rsid w:val="00180A0E"/>
    <w:rsid w:val="0018228B"/>
    <w:rsid w:val="001829FE"/>
    <w:rsid w:val="00185B50"/>
    <w:rsid w:val="0018767C"/>
    <w:rsid w:val="00187DE7"/>
    <w:rsid w:val="00192045"/>
    <w:rsid w:val="001926F5"/>
    <w:rsid w:val="00193B14"/>
    <w:rsid w:val="00193E72"/>
    <w:rsid w:val="00194D71"/>
    <w:rsid w:val="00195267"/>
    <w:rsid w:val="0019600B"/>
    <w:rsid w:val="0019686E"/>
    <w:rsid w:val="0019692A"/>
    <w:rsid w:val="001A08B7"/>
    <w:rsid w:val="001A28C9"/>
    <w:rsid w:val="001A34BC"/>
    <w:rsid w:val="001B01C4"/>
    <w:rsid w:val="001B0FD9"/>
    <w:rsid w:val="001B1194"/>
    <w:rsid w:val="001B1690"/>
    <w:rsid w:val="001B1C77"/>
    <w:rsid w:val="001B49DF"/>
    <w:rsid w:val="001C167C"/>
    <w:rsid w:val="001C1F13"/>
    <w:rsid w:val="001C2A03"/>
    <w:rsid w:val="001C3589"/>
    <w:rsid w:val="001C3D75"/>
    <w:rsid w:val="001C5288"/>
    <w:rsid w:val="001C5B03"/>
    <w:rsid w:val="001C6F4B"/>
    <w:rsid w:val="001D4025"/>
    <w:rsid w:val="001D40F7"/>
    <w:rsid w:val="001D54D6"/>
    <w:rsid w:val="001D59B3"/>
    <w:rsid w:val="001D7B3D"/>
    <w:rsid w:val="001E0271"/>
    <w:rsid w:val="001F0682"/>
    <w:rsid w:val="001F6622"/>
    <w:rsid w:val="00200B8B"/>
    <w:rsid w:val="00203D92"/>
    <w:rsid w:val="002100FC"/>
    <w:rsid w:val="00210C51"/>
    <w:rsid w:val="00211EDE"/>
    <w:rsid w:val="00213890"/>
    <w:rsid w:val="00213C2D"/>
    <w:rsid w:val="00214E52"/>
    <w:rsid w:val="00215EC2"/>
    <w:rsid w:val="002207C0"/>
    <w:rsid w:val="00225B5E"/>
    <w:rsid w:val="00226AA5"/>
    <w:rsid w:val="00226AA6"/>
    <w:rsid w:val="0023002E"/>
    <w:rsid w:val="00234A67"/>
    <w:rsid w:val="002359B9"/>
    <w:rsid w:val="0023676E"/>
    <w:rsid w:val="00240F87"/>
    <w:rsid w:val="002414B6"/>
    <w:rsid w:val="002422EB"/>
    <w:rsid w:val="00242397"/>
    <w:rsid w:val="00242ACC"/>
    <w:rsid w:val="0025068B"/>
    <w:rsid w:val="00250CE7"/>
    <w:rsid w:val="00250DD1"/>
    <w:rsid w:val="00251183"/>
    <w:rsid w:val="00251689"/>
    <w:rsid w:val="0025267C"/>
    <w:rsid w:val="00252EB0"/>
    <w:rsid w:val="002535DC"/>
    <w:rsid w:val="00253B6B"/>
    <w:rsid w:val="00255C71"/>
    <w:rsid w:val="00255FA1"/>
    <w:rsid w:val="00256E72"/>
    <w:rsid w:val="002601EA"/>
    <w:rsid w:val="00264A67"/>
    <w:rsid w:val="00265656"/>
    <w:rsid w:val="00266155"/>
    <w:rsid w:val="002670E5"/>
    <w:rsid w:val="00270B12"/>
    <w:rsid w:val="0027270B"/>
    <w:rsid w:val="00273E92"/>
    <w:rsid w:val="00283E51"/>
    <w:rsid w:val="00290805"/>
    <w:rsid w:val="00290C2A"/>
    <w:rsid w:val="0029161E"/>
    <w:rsid w:val="002931DD"/>
    <w:rsid w:val="002A08A6"/>
    <w:rsid w:val="002A0A6E"/>
    <w:rsid w:val="002A0E7C"/>
    <w:rsid w:val="002A21ED"/>
    <w:rsid w:val="002A3F88"/>
    <w:rsid w:val="002A5FE8"/>
    <w:rsid w:val="002B0527"/>
    <w:rsid w:val="002B2EA8"/>
    <w:rsid w:val="002B5536"/>
    <w:rsid w:val="002B7B76"/>
    <w:rsid w:val="002B7CF4"/>
    <w:rsid w:val="002C12A0"/>
    <w:rsid w:val="002C2FE8"/>
    <w:rsid w:val="002C46CF"/>
    <w:rsid w:val="002C592B"/>
    <w:rsid w:val="002D00FD"/>
    <w:rsid w:val="002D2D62"/>
    <w:rsid w:val="002D48EB"/>
    <w:rsid w:val="002E2B0D"/>
    <w:rsid w:val="002E3A90"/>
    <w:rsid w:val="002E62CB"/>
    <w:rsid w:val="002E6DF1"/>
    <w:rsid w:val="002F0957"/>
    <w:rsid w:val="002F307E"/>
    <w:rsid w:val="002F3BED"/>
    <w:rsid w:val="002F43F6"/>
    <w:rsid w:val="003020BB"/>
    <w:rsid w:val="003028A8"/>
    <w:rsid w:val="00303B9A"/>
    <w:rsid w:val="00304393"/>
    <w:rsid w:val="003058A4"/>
    <w:rsid w:val="00305AB2"/>
    <w:rsid w:val="00306513"/>
    <w:rsid w:val="0031032B"/>
    <w:rsid w:val="00310A04"/>
    <w:rsid w:val="00316E87"/>
    <w:rsid w:val="00317017"/>
    <w:rsid w:val="00323298"/>
    <w:rsid w:val="003256AC"/>
    <w:rsid w:val="00326ABA"/>
    <w:rsid w:val="0033129D"/>
    <w:rsid w:val="003320ED"/>
    <w:rsid w:val="0033480E"/>
    <w:rsid w:val="00337123"/>
    <w:rsid w:val="00340F6B"/>
    <w:rsid w:val="00341025"/>
    <w:rsid w:val="00341866"/>
    <w:rsid w:val="00345972"/>
    <w:rsid w:val="00345B4D"/>
    <w:rsid w:val="0035303B"/>
    <w:rsid w:val="003535E0"/>
    <w:rsid w:val="00353BA9"/>
    <w:rsid w:val="003601A1"/>
    <w:rsid w:val="00360A4B"/>
    <w:rsid w:val="00360C24"/>
    <w:rsid w:val="00364569"/>
    <w:rsid w:val="00364745"/>
    <w:rsid w:val="00365123"/>
    <w:rsid w:val="00366F56"/>
    <w:rsid w:val="003677CE"/>
    <w:rsid w:val="003720C9"/>
    <w:rsid w:val="003730A3"/>
    <w:rsid w:val="003737C8"/>
    <w:rsid w:val="003755C5"/>
    <w:rsid w:val="0037589D"/>
    <w:rsid w:val="00376BB1"/>
    <w:rsid w:val="00377E23"/>
    <w:rsid w:val="0038277C"/>
    <w:rsid w:val="00382F29"/>
    <w:rsid w:val="003860B1"/>
    <w:rsid w:val="003909E0"/>
    <w:rsid w:val="003915D4"/>
    <w:rsid w:val="00392143"/>
    <w:rsid w:val="00394049"/>
    <w:rsid w:val="00395B15"/>
    <w:rsid w:val="00396026"/>
    <w:rsid w:val="003A263E"/>
    <w:rsid w:val="003A6CCB"/>
    <w:rsid w:val="003B0265"/>
    <w:rsid w:val="003B14F3"/>
    <w:rsid w:val="003B32B2"/>
    <w:rsid w:val="003B38B5"/>
    <w:rsid w:val="003B48EB"/>
    <w:rsid w:val="003B4C5C"/>
    <w:rsid w:val="003B7376"/>
    <w:rsid w:val="003C33FF"/>
    <w:rsid w:val="003C408E"/>
    <w:rsid w:val="003C51E6"/>
    <w:rsid w:val="003C64A5"/>
    <w:rsid w:val="003D03CC"/>
    <w:rsid w:val="003D4BB7"/>
    <w:rsid w:val="003E0116"/>
    <w:rsid w:val="003E09E6"/>
    <w:rsid w:val="003E0B16"/>
    <w:rsid w:val="003E26C3"/>
    <w:rsid w:val="003E28C1"/>
    <w:rsid w:val="003E4094"/>
    <w:rsid w:val="003E4AA7"/>
    <w:rsid w:val="003E6BF7"/>
    <w:rsid w:val="003E7B0E"/>
    <w:rsid w:val="003F0D6C"/>
    <w:rsid w:val="003F0F26"/>
    <w:rsid w:val="003F12D9"/>
    <w:rsid w:val="003F6101"/>
    <w:rsid w:val="003F791C"/>
    <w:rsid w:val="003F7A61"/>
    <w:rsid w:val="0040060B"/>
    <w:rsid w:val="004008F6"/>
    <w:rsid w:val="004009E1"/>
    <w:rsid w:val="004019F4"/>
    <w:rsid w:val="00412038"/>
    <w:rsid w:val="00412A5F"/>
    <w:rsid w:val="004136BE"/>
    <w:rsid w:val="0041395C"/>
    <w:rsid w:val="00414B20"/>
    <w:rsid w:val="00417DE3"/>
    <w:rsid w:val="00423968"/>
    <w:rsid w:val="00427054"/>
    <w:rsid w:val="004279EF"/>
    <w:rsid w:val="004304B1"/>
    <w:rsid w:val="00431011"/>
    <w:rsid w:val="0043320A"/>
    <w:rsid w:val="00436AA9"/>
    <w:rsid w:val="00440C26"/>
    <w:rsid w:val="00442947"/>
    <w:rsid w:val="00445391"/>
    <w:rsid w:val="00447174"/>
    <w:rsid w:val="00450528"/>
    <w:rsid w:val="004518A6"/>
    <w:rsid w:val="00453E1D"/>
    <w:rsid w:val="00454589"/>
    <w:rsid w:val="00454811"/>
    <w:rsid w:val="004548B8"/>
    <w:rsid w:val="0045510F"/>
    <w:rsid w:val="00456ED0"/>
    <w:rsid w:val="00457550"/>
    <w:rsid w:val="00461F54"/>
    <w:rsid w:val="004625F1"/>
    <w:rsid w:val="00465974"/>
    <w:rsid w:val="00466074"/>
    <w:rsid w:val="00466F18"/>
    <w:rsid w:val="004673FC"/>
    <w:rsid w:val="00474C50"/>
    <w:rsid w:val="00474F48"/>
    <w:rsid w:val="00475B2F"/>
    <w:rsid w:val="004812AD"/>
    <w:rsid w:val="0048201A"/>
    <w:rsid w:val="00485B6C"/>
    <w:rsid w:val="00486006"/>
    <w:rsid w:val="00486BAD"/>
    <w:rsid w:val="00486BBE"/>
    <w:rsid w:val="00487123"/>
    <w:rsid w:val="00487CB9"/>
    <w:rsid w:val="004915B4"/>
    <w:rsid w:val="0049328F"/>
    <w:rsid w:val="00494BEB"/>
    <w:rsid w:val="004954F3"/>
    <w:rsid w:val="00497F1A"/>
    <w:rsid w:val="004A1899"/>
    <w:rsid w:val="004A1B88"/>
    <w:rsid w:val="004A1BD5"/>
    <w:rsid w:val="004A1FDE"/>
    <w:rsid w:val="004A2601"/>
    <w:rsid w:val="004A2CD3"/>
    <w:rsid w:val="004A336D"/>
    <w:rsid w:val="004A3791"/>
    <w:rsid w:val="004A61E1"/>
    <w:rsid w:val="004A6FA0"/>
    <w:rsid w:val="004B1732"/>
    <w:rsid w:val="004B2344"/>
    <w:rsid w:val="004B379F"/>
    <w:rsid w:val="004B7597"/>
    <w:rsid w:val="004B798E"/>
    <w:rsid w:val="004D1703"/>
    <w:rsid w:val="004D38D8"/>
    <w:rsid w:val="004D3E58"/>
    <w:rsid w:val="004D5DA2"/>
    <w:rsid w:val="004D5DB0"/>
    <w:rsid w:val="004D6746"/>
    <w:rsid w:val="004D74BB"/>
    <w:rsid w:val="004E0F32"/>
    <w:rsid w:val="004E23A1"/>
    <w:rsid w:val="004E4C1E"/>
    <w:rsid w:val="004E64A4"/>
    <w:rsid w:val="004E7ECE"/>
    <w:rsid w:val="004F2B15"/>
    <w:rsid w:val="004F32F9"/>
    <w:rsid w:val="004F36DF"/>
    <w:rsid w:val="004F7053"/>
    <w:rsid w:val="005004EC"/>
    <w:rsid w:val="00500D0E"/>
    <w:rsid w:val="00503550"/>
    <w:rsid w:val="00503A36"/>
    <w:rsid w:val="0050668E"/>
    <w:rsid w:val="00510EEA"/>
    <w:rsid w:val="005113FF"/>
    <w:rsid w:val="00514512"/>
    <w:rsid w:val="005162F6"/>
    <w:rsid w:val="005166BB"/>
    <w:rsid w:val="00516BAA"/>
    <w:rsid w:val="00523C53"/>
    <w:rsid w:val="00525486"/>
    <w:rsid w:val="0052710B"/>
    <w:rsid w:val="00527B8F"/>
    <w:rsid w:val="00532697"/>
    <w:rsid w:val="00533447"/>
    <w:rsid w:val="00542012"/>
    <w:rsid w:val="00543DF5"/>
    <w:rsid w:val="00546366"/>
    <w:rsid w:val="005473C1"/>
    <w:rsid w:val="005508B4"/>
    <w:rsid w:val="0055260D"/>
    <w:rsid w:val="00553834"/>
    <w:rsid w:val="0055523C"/>
    <w:rsid w:val="00555810"/>
    <w:rsid w:val="00555AFF"/>
    <w:rsid w:val="005565B6"/>
    <w:rsid w:val="00556C66"/>
    <w:rsid w:val="00557DEB"/>
    <w:rsid w:val="00561152"/>
    <w:rsid w:val="00562DCA"/>
    <w:rsid w:val="0056568F"/>
    <w:rsid w:val="005668CD"/>
    <w:rsid w:val="0056691A"/>
    <w:rsid w:val="00570FCF"/>
    <w:rsid w:val="005718A9"/>
    <w:rsid w:val="00572B0B"/>
    <w:rsid w:val="00572C4C"/>
    <w:rsid w:val="00572CFF"/>
    <w:rsid w:val="00573DDE"/>
    <w:rsid w:val="00575B1D"/>
    <w:rsid w:val="005768C9"/>
    <w:rsid w:val="00581C69"/>
    <w:rsid w:val="00582578"/>
    <w:rsid w:val="005860E4"/>
    <w:rsid w:val="0058674A"/>
    <w:rsid w:val="005917DA"/>
    <w:rsid w:val="0059469F"/>
    <w:rsid w:val="005A57DB"/>
    <w:rsid w:val="005B04A8"/>
    <w:rsid w:val="005B1F3E"/>
    <w:rsid w:val="005B328D"/>
    <w:rsid w:val="005B3503"/>
    <w:rsid w:val="005B4DCD"/>
    <w:rsid w:val="005B4FAD"/>
    <w:rsid w:val="005C099F"/>
    <w:rsid w:val="005C1DB2"/>
    <w:rsid w:val="005C2517"/>
    <w:rsid w:val="005C2848"/>
    <w:rsid w:val="005D1401"/>
    <w:rsid w:val="005D2B65"/>
    <w:rsid w:val="005D380C"/>
    <w:rsid w:val="005D4554"/>
    <w:rsid w:val="005D6A2D"/>
    <w:rsid w:val="005D6E04"/>
    <w:rsid w:val="005D7A12"/>
    <w:rsid w:val="005E53EE"/>
    <w:rsid w:val="005F0542"/>
    <w:rsid w:val="005F0F72"/>
    <w:rsid w:val="005F1C1F"/>
    <w:rsid w:val="005F346D"/>
    <w:rsid w:val="005F3558"/>
    <w:rsid w:val="005F38FB"/>
    <w:rsid w:val="005F3D2D"/>
    <w:rsid w:val="005F6931"/>
    <w:rsid w:val="005F6EE9"/>
    <w:rsid w:val="00602F9F"/>
    <w:rsid w:val="00605667"/>
    <w:rsid w:val="00606EA1"/>
    <w:rsid w:val="00610B90"/>
    <w:rsid w:val="006128F0"/>
    <w:rsid w:val="0061726B"/>
    <w:rsid w:val="006178AF"/>
    <w:rsid w:val="00617B67"/>
    <w:rsid w:val="00620474"/>
    <w:rsid w:val="00622D7F"/>
    <w:rsid w:val="0062350C"/>
    <w:rsid w:val="0062387A"/>
    <w:rsid w:val="00624180"/>
    <w:rsid w:val="00624F99"/>
    <w:rsid w:val="00626D18"/>
    <w:rsid w:val="00626F52"/>
    <w:rsid w:val="0062793F"/>
    <w:rsid w:val="00630A1B"/>
    <w:rsid w:val="006310F3"/>
    <w:rsid w:val="0063113A"/>
    <w:rsid w:val="006344BE"/>
    <w:rsid w:val="00634A66"/>
    <w:rsid w:val="00635CA6"/>
    <w:rsid w:val="00640336"/>
    <w:rsid w:val="00640FC9"/>
    <w:rsid w:val="00641466"/>
    <w:rsid w:val="006432F2"/>
    <w:rsid w:val="006453A6"/>
    <w:rsid w:val="00645FF3"/>
    <w:rsid w:val="00647742"/>
    <w:rsid w:val="006509BC"/>
    <w:rsid w:val="0065320F"/>
    <w:rsid w:val="00653D64"/>
    <w:rsid w:val="00654E13"/>
    <w:rsid w:val="00667489"/>
    <w:rsid w:val="006679B1"/>
    <w:rsid w:val="0067058A"/>
    <w:rsid w:val="00670D44"/>
    <w:rsid w:val="006745CA"/>
    <w:rsid w:val="00676AFC"/>
    <w:rsid w:val="006807CD"/>
    <w:rsid w:val="00682543"/>
    <w:rsid w:val="00682D43"/>
    <w:rsid w:val="00685BAF"/>
    <w:rsid w:val="006932CE"/>
    <w:rsid w:val="00694F1A"/>
    <w:rsid w:val="00695AFB"/>
    <w:rsid w:val="006A247D"/>
    <w:rsid w:val="006B12CB"/>
    <w:rsid w:val="006B5916"/>
    <w:rsid w:val="006C2FAB"/>
    <w:rsid w:val="006C4F4A"/>
    <w:rsid w:val="006C5E80"/>
    <w:rsid w:val="006C7CEE"/>
    <w:rsid w:val="006D075E"/>
    <w:rsid w:val="006D344C"/>
    <w:rsid w:val="006D390C"/>
    <w:rsid w:val="006D43B8"/>
    <w:rsid w:val="006D7C6E"/>
    <w:rsid w:val="006E123F"/>
    <w:rsid w:val="006E2CDA"/>
    <w:rsid w:val="006E2F95"/>
    <w:rsid w:val="006E73A7"/>
    <w:rsid w:val="006E758D"/>
    <w:rsid w:val="006F5EA7"/>
    <w:rsid w:val="00700814"/>
    <w:rsid w:val="00705EAF"/>
    <w:rsid w:val="00706128"/>
    <w:rsid w:val="007070D1"/>
    <w:rsid w:val="007101CC"/>
    <w:rsid w:val="00712D77"/>
    <w:rsid w:val="00712E14"/>
    <w:rsid w:val="007133D2"/>
    <w:rsid w:val="00722F77"/>
    <w:rsid w:val="00724E3B"/>
    <w:rsid w:val="00725EEA"/>
    <w:rsid w:val="00726BFF"/>
    <w:rsid w:val="0072781F"/>
    <w:rsid w:val="00727AC0"/>
    <w:rsid w:val="00730950"/>
    <w:rsid w:val="00730CE9"/>
    <w:rsid w:val="0073373D"/>
    <w:rsid w:val="00735ECE"/>
    <w:rsid w:val="00736C38"/>
    <w:rsid w:val="007411D8"/>
    <w:rsid w:val="007439DB"/>
    <w:rsid w:val="00744E98"/>
    <w:rsid w:val="00747625"/>
    <w:rsid w:val="0074774A"/>
    <w:rsid w:val="00752572"/>
    <w:rsid w:val="007540FB"/>
    <w:rsid w:val="00754423"/>
    <w:rsid w:val="0075459B"/>
    <w:rsid w:val="00763F97"/>
    <w:rsid w:val="00765316"/>
    <w:rsid w:val="007708C8"/>
    <w:rsid w:val="00771290"/>
    <w:rsid w:val="0077719D"/>
    <w:rsid w:val="00780CD4"/>
    <w:rsid w:val="00780DF0"/>
    <w:rsid w:val="00782F0F"/>
    <w:rsid w:val="00787482"/>
    <w:rsid w:val="00791138"/>
    <w:rsid w:val="00793ED9"/>
    <w:rsid w:val="007A1704"/>
    <w:rsid w:val="007A286D"/>
    <w:rsid w:val="007A38DF"/>
    <w:rsid w:val="007A6231"/>
    <w:rsid w:val="007A6920"/>
    <w:rsid w:val="007B0605"/>
    <w:rsid w:val="007B20CF"/>
    <w:rsid w:val="007B4EBF"/>
    <w:rsid w:val="007B72E1"/>
    <w:rsid w:val="007B783A"/>
    <w:rsid w:val="007C1B95"/>
    <w:rsid w:val="007C280F"/>
    <w:rsid w:val="007C6B22"/>
    <w:rsid w:val="007C7C34"/>
    <w:rsid w:val="007D29FB"/>
    <w:rsid w:val="007D2B90"/>
    <w:rsid w:val="007D3649"/>
    <w:rsid w:val="007D52AB"/>
    <w:rsid w:val="007E0608"/>
    <w:rsid w:val="007E1810"/>
    <w:rsid w:val="007E2F2D"/>
    <w:rsid w:val="007E3A61"/>
    <w:rsid w:val="007F11FF"/>
    <w:rsid w:val="007F1433"/>
    <w:rsid w:val="007F1491"/>
    <w:rsid w:val="007F2D86"/>
    <w:rsid w:val="007F2F03"/>
    <w:rsid w:val="007F2F38"/>
    <w:rsid w:val="007F6110"/>
    <w:rsid w:val="007F6DA0"/>
    <w:rsid w:val="00800FE0"/>
    <w:rsid w:val="008066AD"/>
    <w:rsid w:val="00811298"/>
    <w:rsid w:val="0081517F"/>
    <w:rsid w:val="00815370"/>
    <w:rsid w:val="00817225"/>
    <w:rsid w:val="0082153D"/>
    <w:rsid w:val="00823217"/>
    <w:rsid w:val="008254ED"/>
    <w:rsid w:val="0082672C"/>
    <w:rsid w:val="00830FF3"/>
    <w:rsid w:val="00835EA4"/>
    <w:rsid w:val="00836B8C"/>
    <w:rsid w:val="008410C5"/>
    <w:rsid w:val="0084252B"/>
    <w:rsid w:val="00842C54"/>
    <w:rsid w:val="00846C08"/>
    <w:rsid w:val="00847DC3"/>
    <w:rsid w:val="008530E7"/>
    <w:rsid w:val="00857584"/>
    <w:rsid w:val="00857675"/>
    <w:rsid w:val="00860C40"/>
    <w:rsid w:val="00870FF2"/>
    <w:rsid w:val="00872296"/>
    <w:rsid w:val="0087577B"/>
    <w:rsid w:val="008758C6"/>
    <w:rsid w:val="008763E7"/>
    <w:rsid w:val="008769E8"/>
    <w:rsid w:val="00876C37"/>
    <w:rsid w:val="00877259"/>
    <w:rsid w:val="008808C5"/>
    <w:rsid w:val="00881A7C"/>
    <w:rsid w:val="00883C78"/>
    <w:rsid w:val="00884DDF"/>
    <w:rsid w:val="00885159"/>
    <w:rsid w:val="00885214"/>
    <w:rsid w:val="00887276"/>
    <w:rsid w:val="00887615"/>
    <w:rsid w:val="00890052"/>
    <w:rsid w:val="00894E3A"/>
    <w:rsid w:val="00896EBD"/>
    <w:rsid w:val="0089743F"/>
    <w:rsid w:val="008A5665"/>
    <w:rsid w:val="008B24A8"/>
    <w:rsid w:val="008B3D78"/>
    <w:rsid w:val="008B54AC"/>
    <w:rsid w:val="008B6C57"/>
    <w:rsid w:val="008B70B1"/>
    <w:rsid w:val="008C067F"/>
    <w:rsid w:val="008C261B"/>
    <w:rsid w:val="008C4FCA"/>
    <w:rsid w:val="008C7882"/>
    <w:rsid w:val="008D01C1"/>
    <w:rsid w:val="008D2261"/>
    <w:rsid w:val="008D2F32"/>
    <w:rsid w:val="008D3888"/>
    <w:rsid w:val="008D4249"/>
    <w:rsid w:val="008D4C28"/>
    <w:rsid w:val="008D577B"/>
    <w:rsid w:val="008E16AB"/>
    <w:rsid w:val="008E17C4"/>
    <w:rsid w:val="008E45C4"/>
    <w:rsid w:val="008E64B1"/>
    <w:rsid w:val="008E64FA"/>
    <w:rsid w:val="008E6EE5"/>
    <w:rsid w:val="008E70EF"/>
    <w:rsid w:val="008F307F"/>
    <w:rsid w:val="008F3C9F"/>
    <w:rsid w:val="008F4DEF"/>
    <w:rsid w:val="008F5538"/>
    <w:rsid w:val="008F7001"/>
    <w:rsid w:val="0090226B"/>
    <w:rsid w:val="00902CA2"/>
    <w:rsid w:val="0090361D"/>
    <w:rsid w:val="00904406"/>
    <w:rsid w:val="009048E1"/>
    <w:rsid w:val="00911CDA"/>
    <w:rsid w:val="0091215E"/>
    <w:rsid w:val="00913885"/>
    <w:rsid w:val="00922335"/>
    <w:rsid w:val="009237D6"/>
    <w:rsid w:val="00930591"/>
    <w:rsid w:val="00931D41"/>
    <w:rsid w:val="00931F14"/>
    <w:rsid w:val="0093269D"/>
    <w:rsid w:val="00933D18"/>
    <w:rsid w:val="00942116"/>
    <w:rsid w:val="00942221"/>
    <w:rsid w:val="00945290"/>
    <w:rsid w:val="00950FBB"/>
    <w:rsid w:val="00953349"/>
    <w:rsid w:val="009534DA"/>
    <w:rsid w:val="00954E0C"/>
    <w:rsid w:val="009602D1"/>
    <w:rsid w:val="00961156"/>
    <w:rsid w:val="00961BFE"/>
    <w:rsid w:val="00966F1F"/>
    <w:rsid w:val="00972A8A"/>
    <w:rsid w:val="009749E5"/>
    <w:rsid w:val="009757B4"/>
    <w:rsid w:val="00976D32"/>
    <w:rsid w:val="009816A4"/>
    <w:rsid w:val="00981BD6"/>
    <w:rsid w:val="009844F7"/>
    <w:rsid w:val="009864DA"/>
    <w:rsid w:val="00990710"/>
    <w:rsid w:val="00993948"/>
    <w:rsid w:val="00993C2F"/>
    <w:rsid w:val="009A1878"/>
    <w:rsid w:val="009A1CD4"/>
    <w:rsid w:val="009A2D5A"/>
    <w:rsid w:val="009A5307"/>
    <w:rsid w:val="009A5643"/>
    <w:rsid w:val="009A584D"/>
    <w:rsid w:val="009B2326"/>
    <w:rsid w:val="009B2C7E"/>
    <w:rsid w:val="009B6A63"/>
    <w:rsid w:val="009B77E5"/>
    <w:rsid w:val="009C2E47"/>
    <w:rsid w:val="009C45B8"/>
    <w:rsid w:val="009C6BFB"/>
    <w:rsid w:val="009D07DA"/>
    <w:rsid w:val="009D0C05"/>
    <w:rsid w:val="009D137E"/>
    <w:rsid w:val="009D4F21"/>
    <w:rsid w:val="009E0AA1"/>
    <w:rsid w:val="009E267F"/>
    <w:rsid w:val="009E2C00"/>
    <w:rsid w:val="009E47BA"/>
    <w:rsid w:val="009E5C3D"/>
    <w:rsid w:val="009E67F6"/>
    <w:rsid w:val="009E70F4"/>
    <w:rsid w:val="009F18DD"/>
    <w:rsid w:val="009F1AD2"/>
    <w:rsid w:val="009F53B3"/>
    <w:rsid w:val="00A0327F"/>
    <w:rsid w:val="00A034A9"/>
    <w:rsid w:val="00A036EA"/>
    <w:rsid w:val="00A03BE5"/>
    <w:rsid w:val="00A052C8"/>
    <w:rsid w:val="00A1027A"/>
    <w:rsid w:val="00A10FDD"/>
    <w:rsid w:val="00A11755"/>
    <w:rsid w:val="00A14589"/>
    <w:rsid w:val="00A15510"/>
    <w:rsid w:val="00A207FB"/>
    <w:rsid w:val="00A22555"/>
    <w:rsid w:val="00A235BF"/>
    <w:rsid w:val="00A26F44"/>
    <w:rsid w:val="00A36AC9"/>
    <w:rsid w:val="00A404F1"/>
    <w:rsid w:val="00A4313D"/>
    <w:rsid w:val="00A50120"/>
    <w:rsid w:val="00A556A9"/>
    <w:rsid w:val="00A55907"/>
    <w:rsid w:val="00A60351"/>
    <w:rsid w:val="00A61C6D"/>
    <w:rsid w:val="00A63015"/>
    <w:rsid w:val="00A633A7"/>
    <w:rsid w:val="00A678B4"/>
    <w:rsid w:val="00A704A3"/>
    <w:rsid w:val="00A72CD3"/>
    <w:rsid w:val="00A75E23"/>
    <w:rsid w:val="00A77EEF"/>
    <w:rsid w:val="00A81B91"/>
    <w:rsid w:val="00A82AA0"/>
    <w:rsid w:val="00A82F8A"/>
    <w:rsid w:val="00A86E38"/>
    <w:rsid w:val="00A907C3"/>
    <w:rsid w:val="00A91F17"/>
    <w:rsid w:val="00A9226B"/>
    <w:rsid w:val="00A93E17"/>
    <w:rsid w:val="00A9494D"/>
    <w:rsid w:val="00A9575C"/>
    <w:rsid w:val="00A95916"/>
    <w:rsid w:val="00A95B56"/>
    <w:rsid w:val="00A969AF"/>
    <w:rsid w:val="00A96C34"/>
    <w:rsid w:val="00AA1345"/>
    <w:rsid w:val="00AA4D70"/>
    <w:rsid w:val="00AA5D9E"/>
    <w:rsid w:val="00AA6068"/>
    <w:rsid w:val="00AB1A2E"/>
    <w:rsid w:val="00AB328A"/>
    <w:rsid w:val="00AB4918"/>
    <w:rsid w:val="00AB4BC8"/>
    <w:rsid w:val="00AB69DB"/>
    <w:rsid w:val="00AB6BA7"/>
    <w:rsid w:val="00AC0AD8"/>
    <w:rsid w:val="00AC0C78"/>
    <w:rsid w:val="00AC273D"/>
    <w:rsid w:val="00AD0710"/>
    <w:rsid w:val="00AD4DB9"/>
    <w:rsid w:val="00AD63C0"/>
    <w:rsid w:val="00AD7ABA"/>
    <w:rsid w:val="00AD7E9B"/>
    <w:rsid w:val="00AE2602"/>
    <w:rsid w:val="00AE3539"/>
    <w:rsid w:val="00AE35B2"/>
    <w:rsid w:val="00AE4054"/>
    <w:rsid w:val="00AE64D6"/>
    <w:rsid w:val="00AE6AA0"/>
    <w:rsid w:val="00AF1DEB"/>
    <w:rsid w:val="00AF5FFA"/>
    <w:rsid w:val="00AF6B88"/>
    <w:rsid w:val="00B0742D"/>
    <w:rsid w:val="00B110D3"/>
    <w:rsid w:val="00B119A2"/>
    <w:rsid w:val="00B1337F"/>
    <w:rsid w:val="00B177F2"/>
    <w:rsid w:val="00B201F1"/>
    <w:rsid w:val="00B23C9F"/>
    <w:rsid w:val="00B30074"/>
    <w:rsid w:val="00B304E7"/>
    <w:rsid w:val="00B318B6"/>
    <w:rsid w:val="00B33D5D"/>
    <w:rsid w:val="00B33EBC"/>
    <w:rsid w:val="00B35190"/>
    <w:rsid w:val="00B44CE2"/>
    <w:rsid w:val="00B46185"/>
    <w:rsid w:val="00B60AC9"/>
    <w:rsid w:val="00B612EF"/>
    <w:rsid w:val="00B61404"/>
    <w:rsid w:val="00B61B97"/>
    <w:rsid w:val="00B63AAD"/>
    <w:rsid w:val="00B67323"/>
    <w:rsid w:val="00B74071"/>
    <w:rsid w:val="00B7428E"/>
    <w:rsid w:val="00B74B67"/>
    <w:rsid w:val="00B80571"/>
    <w:rsid w:val="00B805D5"/>
    <w:rsid w:val="00B81C54"/>
    <w:rsid w:val="00B825CC"/>
    <w:rsid w:val="00B82823"/>
    <w:rsid w:val="00B82ED4"/>
    <w:rsid w:val="00B83FFA"/>
    <w:rsid w:val="00B8424F"/>
    <w:rsid w:val="00B845BA"/>
    <w:rsid w:val="00B84997"/>
    <w:rsid w:val="00B875A6"/>
    <w:rsid w:val="00B92843"/>
    <w:rsid w:val="00B92B57"/>
    <w:rsid w:val="00B9367F"/>
    <w:rsid w:val="00B93E4C"/>
    <w:rsid w:val="00B943D9"/>
    <w:rsid w:val="00B94A1B"/>
    <w:rsid w:val="00BA4E88"/>
    <w:rsid w:val="00BA5C89"/>
    <w:rsid w:val="00BB086B"/>
    <w:rsid w:val="00BB1EB1"/>
    <w:rsid w:val="00BB2671"/>
    <w:rsid w:val="00BB4CE2"/>
    <w:rsid w:val="00BC0EFB"/>
    <w:rsid w:val="00BC2E39"/>
    <w:rsid w:val="00BC30BD"/>
    <w:rsid w:val="00BC370F"/>
    <w:rsid w:val="00BC3D24"/>
    <w:rsid w:val="00BC3F07"/>
    <w:rsid w:val="00BC6A39"/>
    <w:rsid w:val="00BD346D"/>
    <w:rsid w:val="00BD565E"/>
    <w:rsid w:val="00BD7321"/>
    <w:rsid w:val="00BE2B41"/>
    <w:rsid w:val="00BE3261"/>
    <w:rsid w:val="00BF2A38"/>
    <w:rsid w:val="00BF2ABA"/>
    <w:rsid w:val="00BF3291"/>
    <w:rsid w:val="00BF3E7E"/>
    <w:rsid w:val="00BF58FC"/>
    <w:rsid w:val="00BF7C8B"/>
    <w:rsid w:val="00BF7E0A"/>
    <w:rsid w:val="00BF7E10"/>
    <w:rsid w:val="00C006E2"/>
    <w:rsid w:val="00C01F77"/>
    <w:rsid w:val="00C01FFC"/>
    <w:rsid w:val="00C03BDC"/>
    <w:rsid w:val="00C044B1"/>
    <w:rsid w:val="00C06981"/>
    <w:rsid w:val="00C06AE4"/>
    <w:rsid w:val="00C06C5D"/>
    <w:rsid w:val="00C114FF"/>
    <w:rsid w:val="00C12FD7"/>
    <w:rsid w:val="00C171A1"/>
    <w:rsid w:val="00C171A4"/>
    <w:rsid w:val="00C173C6"/>
    <w:rsid w:val="00C17F12"/>
    <w:rsid w:val="00C237E9"/>
    <w:rsid w:val="00C239CF"/>
    <w:rsid w:val="00C308C2"/>
    <w:rsid w:val="00C34EB0"/>
    <w:rsid w:val="00C35FB2"/>
    <w:rsid w:val="00C36883"/>
    <w:rsid w:val="00C40928"/>
    <w:rsid w:val="00C419D4"/>
    <w:rsid w:val="00C43F01"/>
    <w:rsid w:val="00C44AA4"/>
    <w:rsid w:val="00C4528E"/>
    <w:rsid w:val="00C46F27"/>
    <w:rsid w:val="00C47552"/>
    <w:rsid w:val="00C54384"/>
    <w:rsid w:val="00C55492"/>
    <w:rsid w:val="00C57A81"/>
    <w:rsid w:val="00C60193"/>
    <w:rsid w:val="00C6076D"/>
    <w:rsid w:val="00C6183B"/>
    <w:rsid w:val="00C634D4"/>
    <w:rsid w:val="00C63AA5"/>
    <w:rsid w:val="00C65071"/>
    <w:rsid w:val="00C66A3B"/>
    <w:rsid w:val="00C67D1E"/>
    <w:rsid w:val="00C728C0"/>
    <w:rsid w:val="00C72F0A"/>
    <w:rsid w:val="00C735F7"/>
    <w:rsid w:val="00C73F6D"/>
    <w:rsid w:val="00C74F6E"/>
    <w:rsid w:val="00C7566F"/>
    <w:rsid w:val="00C76EDC"/>
    <w:rsid w:val="00C77FA4"/>
    <w:rsid w:val="00C77FFA"/>
    <w:rsid w:val="00C802E7"/>
    <w:rsid w:val="00C80401"/>
    <w:rsid w:val="00C81597"/>
    <w:rsid w:val="00C81C97"/>
    <w:rsid w:val="00C840C2"/>
    <w:rsid w:val="00C84101"/>
    <w:rsid w:val="00C84157"/>
    <w:rsid w:val="00C8535F"/>
    <w:rsid w:val="00C85ACF"/>
    <w:rsid w:val="00C86E85"/>
    <w:rsid w:val="00C90EDA"/>
    <w:rsid w:val="00C9584B"/>
    <w:rsid w:val="00C959E7"/>
    <w:rsid w:val="00C97382"/>
    <w:rsid w:val="00C97DEB"/>
    <w:rsid w:val="00CA34C1"/>
    <w:rsid w:val="00CA7BB0"/>
    <w:rsid w:val="00CB020C"/>
    <w:rsid w:val="00CB2BA2"/>
    <w:rsid w:val="00CB33CA"/>
    <w:rsid w:val="00CB382C"/>
    <w:rsid w:val="00CB4781"/>
    <w:rsid w:val="00CB6FB2"/>
    <w:rsid w:val="00CB7A74"/>
    <w:rsid w:val="00CC1E65"/>
    <w:rsid w:val="00CC567A"/>
    <w:rsid w:val="00CD4059"/>
    <w:rsid w:val="00CD4E5A"/>
    <w:rsid w:val="00CD5164"/>
    <w:rsid w:val="00CD63B6"/>
    <w:rsid w:val="00CE03CE"/>
    <w:rsid w:val="00CE09AD"/>
    <w:rsid w:val="00CE118A"/>
    <w:rsid w:val="00CF0DFF"/>
    <w:rsid w:val="00CF4255"/>
    <w:rsid w:val="00CF6734"/>
    <w:rsid w:val="00CF75CD"/>
    <w:rsid w:val="00D0359D"/>
    <w:rsid w:val="00D04035"/>
    <w:rsid w:val="00D043D8"/>
    <w:rsid w:val="00D04DED"/>
    <w:rsid w:val="00D05863"/>
    <w:rsid w:val="00D1089A"/>
    <w:rsid w:val="00D116BD"/>
    <w:rsid w:val="00D1207F"/>
    <w:rsid w:val="00D16225"/>
    <w:rsid w:val="00D20073"/>
    <w:rsid w:val="00D21C5A"/>
    <w:rsid w:val="00D23673"/>
    <w:rsid w:val="00D263DF"/>
    <w:rsid w:val="00D30A87"/>
    <w:rsid w:val="00D31247"/>
    <w:rsid w:val="00D36774"/>
    <w:rsid w:val="00D3691A"/>
    <w:rsid w:val="00D377E2"/>
    <w:rsid w:val="00D41902"/>
    <w:rsid w:val="00D42DCB"/>
    <w:rsid w:val="00D4563A"/>
    <w:rsid w:val="00D465EB"/>
    <w:rsid w:val="00D46DF2"/>
    <w:rsid w:val="00D47674"/>
    <w:rsid w:val="00D5045B"/>
    <w:rsid w:val="00D50F49"/>
    <w:rsid w:val="00D51C14"/>
    <w:rsid w:val="00D5338C"/>
    <w:rsid w:val="00D53AE8"/>
    <w:rsid w:val="00D60531"/>
    <w:rsid w:val="00D606B2"/>
    <w:rsid w:val="00D646FB"/>
    <w:rsid w:val="00D65777"/>
    <w:rsid w:val="00D728A0"/>
    <w:rsid w:val="00D73436"/>
    <w:rsid w:val="00D869C4"/>
    <w:rsid w:val="00D941D5"/>
    <w:rsid w:val="00D97E7D"/>
    <w:rsid w:val="00DA473C"/>
    <w:rsid w:val="00DA4AF0"/>
    <w:rsid w:val="00DA7016"/>
    <w:rsid w:val="00DB2756"/>
    <w:rsid w:val="00DB3439"/>
    <w:rsid w:val="00DB4051"/>
    <w:rsid w:val="00DC2946"/>
    <w:rsid w:val="00DC550F"/>
    <w:rsid w:val="00DC5EFF"/>
    <w:rsid w:val="00DC64FD"/>
    <w:rsid w:val="00DD094B"/>
    <w:rsid w:val="00DD0E07"/>
    <w:rsid w:val="00DD5741"/>
    <w:rsid w:val="00DD7F88"/>
    <w:rsid w:val="00DE127F"/>
    <w:rsid w:val="00DE17DD"/>
    <w:rsid w:val="00DE3AE0"/>
    <w:rsid w:val="00DE424A"/>
    <w:rsid w:val="00DE4419"/>
    <w:rsid w:val="00DE793B"/>
    <w:rsid w:val="00DF0ACA"/>
    <w:rsid w:val="00DF2245"/>
    <w:rsid w:val="00DF77CF"/>
    <w:rsid w:val="00E02519"/>
    <w:rsid w:val="00E026E8"/>
    <w:rsid w:val="00E062FD"/>
    <w:rsid w:val="00E14C47"/>
    <w:rsid w:val="00E17794"/>
    <w:rsid w:val="00E22698"/>
    <w:rsid w:val="00E25B7C"/>
    <w:rsid w:val="00E27C1E"/>
    <w:rsid w:val="00E30CE5"/>
    <w:rsid w:val="00E3725B"/>
    <w:rsid w:val="00E37BD9"/>
    <w:rsid w:val="00E421F2"/>
    <w:rsid w:val="00E434D1"/>
    <w:rsid w:val="00E479EC"/>
    <w:rsid w:val="00E47B3F"/>
    <w:rsid w:val="00E47D52"/>
    <w:rsid w:val="00E53825"/>
    <w:rsid w:val="00E565FF"/>
    <w:rsid w:val="00E56AD0"/>
    <w:rsid w:val="00E56CBB"/>
    <w:rsid w:val="00E61E51"/>
    <w:rsid w:val="00E64B1E"/>
    <w:rsid w:val="00E6552A"/>
    <w:rsid w:val="00E6707D"/>
    <w:rsid w:val="00E70E7C"/>
    <w:rsid w:val="00E71313"/>
    <w:rsid w:val="00E71B26"/>
    <w:rsid w:val="00E72606"/>
    <w:rsid w:val="00E73C3E"/>
    <w:rsid w:val="00E80AAB"/>
    <w:rsid w:val="00E84E9D"/>
    <w:rsid w:val="00E85B46"/>
    <w:rsid w:val="00E87A5C"/>
    <w:rsid w:val="00E935AF"/>
    <w:rsid w:val="00E9379C"/>
    <w:rsid w:val="00E97EE9"/>
    <w:rsid w:val="00EA4647"/>
    <w:rsid w:val="00EA6205"/>
    <w:rsid w:val="00EB0E20"/>
    <w:rsid w:val="00EC1FAF"/>
    <w:rsid w:val="00EC411E"/>
    <w:rsid w:val="00EC4F30"/>
    <w:rsid w:val="00EC4F3A"/>
    <w:rsid w:val="00ED594D"/>
    <w:rsid w:val="00ED6729"/>
    <w:rsid w:val="00EE0478"/>
    <w:rsid w:val="00EE36E1"/>
    <w:rsid w:val="00EE6056"/>
    <w:rsid w:val="00EF0135"/>
    <w:rsid w:val="00EF0947"/>
    <w:rsid w:val="00EF0F41"/>
    <w:rsid w:val="00EF118A"/>
    <w:rsid w:val="00F0054D"/>
    <w:rsid w:val="00F019F4"/>
    <w:rsid w:val="00F02467"/>
    <w:rsid w:val="00F12214"/>
    <w:rsid w:val="00F12565"/>
    <w:rsid w:val="00F125ED"/>
    <w:rsid w:val="00F14ACA"/>
    <w:rsid w:val="00F14FDD"/>
    <w:rsid w:val="00F20FBB"/>
    <w:rsid w:val="00F21D99"/>
    <w:rsid w:val="00F21E77"/>
    <w:rsid w:val="00F23927"/>
    <w:rsid w:val="00F25027"/>
    <w:rsid w:val="00F26A05"/>
    <w:rsid w:val="00F307CE"/>
    <w:rsid w:val="00F31F65"/>
    <w:rsid w:val="00F37108"/>
    <w:rsid w:val="00F411A9"/>
    <w:rsid w:val="00F41FB0"/>
    <w:rsid w:val="00F47BAA"/>
    <w:rsid w:val="00F51E12"/>
    <w:rsid w:val="00F52EAB"/>
    <w:rsid w:val="00F52F11"/>
    <w:rsid w:val="00F54958"/>
    <w:rsid w:val="00F57B82"/>
    <w:rsid w:val="00F651AE"/>
    <w:rsid w:val="00F67A2D"/>
    <w:rsid w:val="00F67A53"/>
    <w:rsid w:val="00F7076C"/>
    <w:rsid w:val="00F70A1B"/>
    <w:rsid w:val="00F72FDF"/>
    <w:rsid w:val="00F75960"/>
    <w:rsid w:val="00F80768"/>
    <w:rsid w:val="00F820C5"/>
    <w:rsid w:val="00F82526"/>
    <w:rsid w:val="00F84672"/>
    <w:rsid w:val="00F84802"/>
    <w:rsid w:val="00F96D15"/>
    <w:rsid w:val="00FA06FD"/>
    <w:rsid w:val="00FA0C59"/>
    <w:rsid w:val="00FA515B"/>
    <w:rsid w:val="00FA57D1"/>
    <w:rsid w:val="00FA6A77"/>
    <w:rsid w:val="00FA6B90"/>
    <w:rsid w:val="00FA74CB"/>
    <w:rsid w:val="00FB2886"/>
    <w:rsid w:val="00FB2C03"/>
    <w:rsid w:val="00FB43F9"/>
    <w:rsid w:val="00FB466E"/>
    <w:rsid w:val="00FB5F71"/>
    <w:rsid w:val="00FC6D20"/>
    <w:rsid w:val="00FD13EC"/>
    <w:rsid w:val="00FD1A5B"/>
    <w:rsid w:val="00FD4DA8"/>
    <w:rsid w:val="00FD4EEF"/>
    <w:rsid w:val="00FD5461"/>
    <w:rsid w:val="00FD6BDB"/>
    <w:rsid w:val="00FD6F00"/>
    <w:rsid w:val="00FD7B98"/>
    <w:rsid w:val="00FE1EA0"/>
    <w:rsid w:val="00FE5DE6"/>
    <w:rsid w:val="00FE65FD"/>
    <w:rsid w:val="00FF1301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7F6618"/>
  <w15:chartTrackingRefBased/>
  <w15:docId w15:val="{BECC4F3E-7F9D-4B40-A0D1-3133D15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 w:eastAsia="lv-LV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clear" w:pos="567"/>
      </w:tabs>
      <w:outlineLvl w:val="3"/>
    </w:pPr>
    <w:rPr>
      <w:b/>
      <w:noProof/>
      <w:lang w:val="lv-LV"/>
    </w:rPr>
  </w:style>
  <w:style w:type="paragraph" w:styleId="Heading5">
    <w:name w:val="heading 5"/>
    <w:basedOn w:val="Normal"/>
    <w:next w:val="Normal"/>
    <w:qFormat/>
    <w:pPr>
      <w:keepNext/>
      <w:tabs>
        <w:tab w:val="clear" w:pos="567"/>
      </w:tabs>
      <w:jc w:val="center"/>
      <w:outlineLvl w:val="4"/>
    </w:pPr>
    <w:rPr>
      <w:b/>
      <w:noProof/>
      <w:lang w:val="lv-LV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TOC9">
    <w:name w:val="toc 9"/>
    <w:basedOn w:val="Normal"/>
    <w:next w:val="Normal"/>
    <w:semiHidden/>
    <w:pPr>
      <w:tabs>
        <w:tab w:val="clear" w:pos="567"/>
      </w:tabs>
      <w:ind w:left="1760"/>
    </w:pPr>
  </w:style>
  <w:style w:type="character" w:styleId="EndnoteReference">
    <w:name w:val="endnote reference"/>
    <w:semiHidden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BodyText">
    <w:name w:val="Body Text"/>
    <w:basedOn w:val="Normal"/>
    <w:pPr>
      <w:tabs>
        <w:tab w:val="clear" w:pos="567"/>
      </w:tabs>
      <w:spacing w:line="240" w:lineRule="auto"/>
      <w:jc w:val="both"/>
    </w:pPr>
  </w:style>
  <w:style w:type="paragraph" w:styleId="BlockText">
    <w:name w:val="Block Text"/>
    <w:basedOn w:val="Normal"/>
    <w:pPr>
      <w:tabs>
        <w:tab w:val="clear" w:pos="567"/>
      </w:tabs>
      <w:ind w:left="2268" w:right="1711" w:hanging="567"/>
    </w:pPr>
    <w:rPr>
      <w:b/>
    </w:rPr>
  </w:style>
  <w:style w:type="paragraph" w:styleId="BodyText2">
    <w:name w:val="Body Text 2"/>
    <w:basedOn w:val="Normal"/>
    <w:pPr>
      <w:spacing w:line="240" w:lineRule="auto"/>
      <w:ind w:left="567" w:hanging="567"/>
    </w:pPr>
    <w:rPr>
      <w:b/>
    </w:rPr>
  </w:style>
  <w:style w:type="paragraph" w:styleId="BodyText3">
    <w:name w:val="Body Text 3"/>
    <w:basedOn w:val="Normal"/>
    <w:pPr>
      <w:ind w:right="113"/>
      <w:jc w:val="both"/>
    </w:pPr>
    <w:rPr>
      <w:b/>
    </w:rPr>
  </w:style>
  <w:style w:type="paragraph" w:styleId="EndnoteText">
    <w:name w:val="endnote text"/>
    <w:basedOn w:val="Normal"/>
    <w:semiHidden/>
    <w:pPr>
      <w:spacing w:line="240" w:lineRule="auto"/>
    </w:pPr>
  </w:style>
  <w:style w:type="character" w:styleId="CommentReference">
    <w:name w:val="annotation reference"/>
    <w:semiHidden/>
    <w:rPr>
      <w:sz w:val="16"/>
    </w:rPr>
  </w:style>
  <w:style w:type="paragraph" w:styleId="BodyTextIndent2">
    <w:name w:val="Body Text Indent 2"/>
    <w:basedOn w:val="Normal"/>
    <w:pPr>
      <w:ind w:left="567" w:hanging="567"/>
      <w:jc w:val="both"/>
    </w:pPr>
    <w:rPr>
      <w:b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3">
    <w:name w:val="Body Text Indent 3"/>
    <w:basedOn w:val="Normal"/>
    <w:pPr>
      <w:spacing w:line="240" w:lineRule="auto"/>
      <w:ind w:left="567" w:hanging="567"/>
    </w:pPr>
  </w:style>
  <w:style w:type="character" w:styleId="Hyperlink">
    <w:name w:val="Hyperlink"/>
    <w:rPr>
      <w:color w:val="0000FF"/>
      <w:u w:val="single"/>
    </w:rPr>
  </w:style>
  <w:style w:type="paragraph" w:customStyle="1" w:styleId="AHeader1">
    <w:name w:val="AHeader 1"/>
    <w:basedOn w:val="Normal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3600"/>
      </w:tabs>
      <w:ind w:left="3600"/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Pr>
      <w:snapToGrid w:val="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semiHidden/>
    <w:rPr>
      <w:snapToGrid w:val="0"/>
      <w:sz w:val="22"/>
      <w:lang w:val="en-GB" w:eastAsia="lv-LV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snapToGrid w:val="0"/>
      <w:color w:val="000000"/>
      <w:sz w:val="24"/>
      <w:szCs w:val="24"/>
      <w:lang w:val="it-IT" w:eastAsia="lv-LV"/>
    </w:rPr>
  </w:style>
  <w:style w:type="paragraph" w:customStyle="1" w:styleId="BodytextAgency">
    <w:name w:val="Body text (Agency)"/>
    <w:basedOn w:val="Normal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al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al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 w:eastAsia="lv-LV"/>
    </w:rPr>
  </w:style>
  <w:style w:type="table" w:customStyle="1" w:styleId="TablegridAgencyblack">
    <w:name w:val="Table grid (Agency) black"/>
    <w:semiHidden/>
    <w:rPr>
      <w:snapToGrid w:val="0"/>
      <w:sz w:val="18"/>
      <w:lang w:val="lv-LV"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al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al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character" w:customStyle="1" w:styleId="CharChar">
    <w:name w:val="Char Char"/>
    <w:semiHidden/>
    <w:locked/>
    <w:rPr>
      <w:lang w:val="en-GB"/>
    </w:rPr>
  </w:style>
  <w:style w:type="character" w:customStyle="1" w:styleId="hps">
    <w:name w:val="hps"/>
    <w:rPr>
      <w:rFonts w:cs="Times New Roman"/>
    </w:rPr>
  </w:style>
  <w:style w:type="paragraph" w:customStyle="1" w:styleId="Rvision1">
    <w:name w:val="Révision1"/>
    <w:hidden/>
    <w:semiHidden/>
    <w:rPr>
      <w:snapToGrid w:val="0"/>
      <w:sz w:val="22"/>
      <w:lang w:val="en-GB" w:eastAsia="lv-LV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  <w:style w:type="character" w:customStyle="1" w:styleId="FooterChar">
    <w:name w:val="Footer Char"/>
    <w:link w:val="Footer"/>
    <w:uiPriority w:val="99"/>
    <w:rsid w:val="00AE4054"/>
    <w:rPr>
      <w:rFonts w:ascii="Helvetica" w:hAnsi="Helvetica"/>
      <w:snapToGrid w:val="0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2100</Words>
  <Characters>11972</Characters>
  <DocSecurity>0</DocSecurity>
  <Lines>99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EN_qrd_veterinary template_v.8_final</vt:lpstr>
      <vt:lpstr>EN_qrd_veterinary template_v.8_final</vt:lpstr>
      <vt:lpstr>EN_qrd_veterinary template_v.8_final</vt:lpstr>
    </vt:vector>
  </TitlesOfParts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1970-01-01T00:00:00Z</cp:lastPrinted>
  <dcterms:created xsi:type="dcterms:W3CDTF">1970-01-01T00:00:00Z</dcterms:created>
  <dcterms:modified xsi:type="dcterms:W3CDTF">1970-01-01T00:00:00Z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CURRENT,2.2</vt:lpwstr>
  </property>
  <property fmtid="{D5CDD505-2E9C-101B-9397-08002B2CF9AE}" pid="53" name="DM_Name">
    <vt:lpwstr>EN_qrd_veterinary template_v.8_final</vt:lpwstr>
  </property>
  <property fmtid="{D5CDD505-2E9C-101B-9397-08002B2CF9AE}" pid="54" name="DM_Creation_Date">
    <vt:lpwstr>16/10/2012 12:22:14</vt:lpwstr>
  </property>
  <property fmtid="{D5CDD505-2E9C-101B-9397-08002B2CF9AE}" pid="55" name="DM_Modify_Date">
    <vt:lpwstr>16/10/2012 12:22:14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16/10/2012 12:22:14</vt:lpwstr>
  </property>
</Properties>
</file>